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560" w:firstLineChars="300"/>
        <w:rPr>
          <w:rFonts w:ascii="黑体" w:hAnsi="黑体" w:eastAsia="黑体"/>
          <w:sz w:val="52"/>
          <w:szCs w:val="52"/>
        </w:rPr>
      </w:pPr>
    </w:p>
    <w:p>
      <w:pPr>
        <w:ind w:firstLine="1560" w:firstLineChars="300"/>
        <w:rPr>
          <w:rFonts w:ascii="黑体" w:hAnsi="黑体" w:eastAsia="黑体"/>
          <w:sz w:val="52"/>
          <w:szCs w:val="52"/>
        </w:rPr>
      </w:pPr>
    </w:p>
    <w:p>
      <w:pPr>
        <w:ind w:firstLine="1560" w:firstLineChars="300"/>
        <w:rPr>
          <w:rFonts w:ascii="黑体" w:hAnsi="黑体" w:eastAsia="黑体"/>
          <w:sz w:val="52"/>
          <w:szCs w:val="52"/>
        </w:rPr>
      </w:pPr>
    </w:p>
    <w:p>
      <w:pPr>
        <w:ind w:firstLine="2340" w:firstLineChars="450"/>
        <w:rPr>
          <w:rFonts w:ascii="黑体" w:hAnsi="黑体" w:eastAsia="黑体"/>
          <w:sz w:val="52"/>
          <w:szCs w:val="52"/>
        </w:rPr>
      </w:pPr>
      <w:r>
        <w:rPr>
          <w:rFonts w:hint="eastAsia" w:ascii="黑体" w:hAnsi="黑体" w:eastAsia="黑体"/>
          <w:sz w:val="52"/>
          <w:szCs w:val="52"/>
        </w:rPr>
        <w:t>山西能源学院</w:t>
      </w:r>
    </w:p>
    <w:p>
      <w:pPr>
        <w:ind w:firstLine="1560" w:firstLineChars="300"/>
        <w:rPr>
          <w:rFonts w:ascii="黑体" w:hAnsi="黑体" w:eastAsia="黑体"/>
          <w:sz w:val="52"/>
          <w:szCs w:val="52"/>
        </w:rPr>
      </w:pPr>
    </w:p>
    <w:p>
      <w:pPr>
        <w:ind w:firstLine="2400" w:firstLineChars="500"/>
        <w:rPr>
          <w:rFonts w:ascii="黑体" w:hAnsi="黑体" w:eastAsia="黑体"/>
          <w:sz w:val="48"/>
          <w:szCs w:val="48"/>
        </w:rPr>
      </w:pPr>
      <w:r>
        <w:rPr>
          <w:rFonts w:hint="eastAsia" w:ascii="黑体" w:hAnsi="黑体" w:eastAsia="黑体"/>
          <w:sz w:val="48"/>
          <w:szCs w:val="48"/>
        </w:rPr>
        <w:t>就业质量报告</w:t>
      </w: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400" w:firstLineChars="500"/>
        <w:rPr>
          <w:rFonts w:ascii="黑体" w:hAnsi="黑体" w:eastAsia="黑体"/>
          <w:sz w:val="48"/>
          <w:szCs w:val="48"/>
        </w:rPr>
      </w:pPr>
    </w:p>
    <w:p>
      <w:pPr>
        <w:ind w:firstLine="2520" w:firstLineChars="700"/>
        <w:rPr>
          <w:rFonts w:ascii="黑体" w:hAnsi="黑体" w:eastAsia="黑体"/>
          <w:sz w:val="36"/>
          <w:szCs w:val="36"/>
        </w:rPr>
      </w:pPr>
      <w:r>
        <w:rPr>
          <w:rFonts w:hint="eastAsia" w:ascii="黑体" w:hAnsi="黑体" w:eastAsia="黑体"/>
          <w:sz w:val="36"/>
          <w:szCs w:val="36"/>
        </w:rPr>
        <w:t>二０一六年十二月</w:t>
      </w:r>
    </w:p>
    <w:p>
      <w:pPr>
        <w:ind w:firstLine="1800" w:firstLineChars="500"/>
        <w:rPr>
          <w:rFonts w:ascii="黑体" w:hAnsi="黑体" w:eastAsia="黑体"/>
          <w:sz w:val="36"/>
          <w:szCs w:val="36"/>
        </w:rPr>
        <w:sectPr>
          <w:footerReference r:id="rId3" w:type="default"/>
          <w:pgSz w:w="11906" w:h="16838"/>
          <w:pgMar w:top="1440" w:right="1800" w:bottom="1440" w:left="1800" w:header="851" w:footer="992" w:gutter="0"/>
          <w:cols w:space="425" w:num="1"/>
          <w:docGrid w:type="lines" w:linePitch="312" w:charSpace="0"/>
        </w:sectPr>
      </w:pPr>
    </w:p>
    <w:p>
      <w:pPr>
        <w:pStyle w:val="19"/>
        <w:numPr>
          <w:ilvl w:val="0"/>
          <w:numId w:val="1"/>
        </w:numPr>
        <w:ind w:firstLineChars="0"/>
        <w:rPr>
          <w:rFonts w:ascii="黑体" w:hAnsi="黑体" w:eastAsia="黑体"/>
          <w:sz w:val="36"/>
          <w:szCs w:val="36"/>
        </w:rPr>
      </w:pPr>
      <w:r>
        <w:rPr>
          <w:rFonts w:hint="eastAsia" w:ascii="黑体" w:hAnsi="黑体" w:eastAsia="黑体"/>
          <w:sz w:val="36"/>
          <w:szCs w:val="36"/>
        </w:rPr>
        <w:t>学院简介</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山西能源学院是2016年3月经国家教育部批准，在山西煤炭管理干部学院基础上建立的一所由山西省人民政府举办，山西省教育厅管理的全日制本科层次的普通高校，主要培养区域经济社会发展需要的应用型、技术技能型人材。</w:t>
      </w:r>
    </w:p>
    <w:p>
      <w:pPr>
        <w:pStyle w:val="19"/>
        <w:numPr>
          <w:ilvl w:val="0"/>
          <w:numId w:val="2"/>
        </w:numPr>
        <w:ind w:firstLineChars="0"/>
        <w:rPr>
          <w:rFonts w:ascii="华文仿宋" w:hAnsi="华文仿宋" w:eastAsia="华文仿宋"/>
          <w:sz w:val="32"/>
          <w:szCs w:val="32"/>
        </w:rPr>
      </w:pPr>
      <w:r>
        <w:rPr>
          <w:rFonts w:hint="eastAsia" w:ascii="华文仿宋" w:hAnsi="华文仿宋" w:eastAsia="华文仿宋"/>
          <w:sz w:val="32"/>
          <w:szCs w:val="32"/>
        </w:rPr>
        <w:t>办学历史</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学院由原山西省煤炭工业干部学校改建而成，1984年6月建院，厅（局）级建制，隶属山西省煤炭工业厅（1985年至1998年隶属煤炭工业部），由山西省教育厅业务指导。</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2000年起，开展高职教育。当年即招收参加全省统考的高职大专生410人。同时招收成人大专生1130人。学院与省内外多家单位建立协作关系，通过就业洽谈会、供需见面会以及直接推荐等形式为高职毕业生提供就业机会。</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至2016年，学院累计培养大专生36454人、开展管理干部培训20754人次、煤矿安全技术培训23570人次，完成煤矿环境评价与监测项目400余个。多次荣获“全国煤炭成人教育先进集体”、“山西省煤炭行业模范单位” 、“山西省省直机关文明和谐单位标兵”等荣誉称号。</w:t>
      </w:r>
    </w:p>
    <w:p>
      <w:pPr>
        <w:pStyle w:val="19"/>
        <w:numPr>
          <w:ilvl w:val="0"/>
          <w:numId w:val="2"/>
        </w:numPr>
        <w:ind w:firstLineChars="0"/>
        <w:rPr>
          <w:rFonts w:ascii="华文仿宋" w:hAnsi="华文仿宋" w:eastAsia="华文仿宋"/>
          <w:sz w:val="32"/>
          <w:szCs w:val="32"/>
        </w:rPr>
      </w:pPr>
      <w:r>
        <w:rPr>
          <w:rFonts w:hint="eastAsia" w:ascii="华文仿宋" w:hAnsi="华文仿宋" w:eastAsia="华文仿宋"/>
          <w:sz w:val="32"/>
          <w:szCs w:val="32"/>
        </w:rPr>
        <w:t>办学实力</w:t>
      </w:r>
    </w:p>
    <w:p>
      <w:pPr>
        <w:ind w:firstLine="640" w:firstLineChars="200"/>
        <w:rPr>
          <w:rFonts w:ascii="华文仿宋" w:hAnsi="华文仿宋" w:eastAsia="华文仿宋"/>
          <w:color w:val="auto"/>
          <w:sz w:val="32"/>
          <w:szCs w:val="32"/>
        </w:rPr>
      </w:pPr>
      <w:r>
        <w:rPr>
          <w:rFonts w:hint="eastAsia" w:ascii="华文仿宋" w:hAnsi="华文仿宋" w:eastAsia="华文仿宋"/>
          <w:color w:val="auto"/>
          <w:sz w:val="32"/>
          <w:szCs w:val="32"/>
        </w:rPr>
        <w:t>学院坐落于大学林立、学风浓郁的山西省高校园区，净占地面积675.52亩，校舍建筑面积19.69万平方米，教学科研仪器设备值4079.35万元，图书42.33万册，校内实验实训室76个，校外实习基地66个。现有在校生6200余人，专任教师300人，其中正高职务专任教师26人，副教授等高级专业技术职称人员137，“双师型”教师136人。是山西省财政厅“会计电算化定点培训单位”、“会计人员继续教育定点短训单位”、“山西省计算机应用能力培训点”、“山西省高职高专英语课程教学评估优秀单位”、“全国计算机等级考试考点”、“全国公共英语等级考试考点”、“国家职业资格考试报考点”，“山西省创造学会”的挂靠单位。</w:t>
      </w:r>
    </w:p>
    <w:p>
      <w:pPr>
        <w:pStyle w:val="19"/>
        <w:numPr>
          <w:ilvl w:val="0"/>
          <w:numId w:val="2"/>
        </w:numPr>
        <w:ind w:firstLineChars="0"/>
        <w:rPr>
          <w:rFonts w:ascii="华文仿宋" w:hAnsi="华文仿宋" w:eastAsia="华文仿宋"/>
          <w:color w:val="auto"/>
          <w:sz w:val="32"/>
          <w:szCs w:val="32"/>
        </w:rPr>
      </w:pPr>
      <w:r>
        <w:rPr>
          <w:rFonts w:hint="eastAsia" w:ascii="华文仿宋" w:hAnsi="华文仿宋" w:eastAsia="华文仿宋"/>
          <w:color w:val="auto"/>
          <w:sz w:val="32"/>
          <w:szCs w:val="32"/>
        </w:rPr>
        <w:t>发展前景</w:t>
      </w:r>
    </w:p>
    <w:p>
      <w:pPr>
        <w:pStyle w:val="19"/>
        <w:ind w:left="0" w:leftChars="0" w:firstLine="0" w:firstLineChars="0"/>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2009年，为满足山西煤炭行业转型发展对人才和技术的需求，经山西省人民政府批准，在学院基础上筹建“山西煤炭学院”。2013年，面对山西煤炭、电力协调发展，新能源行业蓬勃新兴的发展格局，转型综改试验区和国家综合能源基地建设的需要，山西省人民政府决定将正在筹建中的“山西煤炭学院”改为筹建“山西能源学院”，建设一所“以工为主、能源见长、特色鲜明、规模适当”的能源类应用技术型普通本科学校，为山西及周边省份能源和新能源产业培育基础理论扎实、专业技能突出、实践动手能力强、吃苦耐劳、勇于奉献的高素质工程技术人才和管理人才。</w:t>
      </w:r>
    </w:p>
    <w:p>
      <w:pPr>
        <w:ind w:firstLine="640" w:firstLineChars="200"/>
        <w:rPr>
          <w:rFonts w:ascii="华文仿宋" w:hAnsi="华文仿宋" w:eastAsia="华文仿宋"/>
          <w:sz w:val="32"/>
          <w:szCs w:val="32"/>
        </w:rPr>
      </w:pPr>
      <w:r>
        <w:rPr>
          <w:rFonts w:hint="eastAsia" w:ascii="华文仿宋" w:hAnsi="华文仿宋" w:eastAsia="华文仿宋"/>
          <w:color w:val="auto"/>
          <w:sz w:val="32"/>
          <w:szCs w:val="32"/>
        </w:rPr>
        <w:t>山西省人民政府高度重视学院的筹建，在山西省高校园区为学院划拨620.15亩土地，作为学院新校区。在审慎研究论证、广泛征求意见的基础上，省政府第30次常务会研究通过了《山西能源学院筹建方案》，明确了山西能源学院</w:t>
      </w:r>
      <w:r>
        <w:rPr>
          <w:rFonts w:hint="eastAsia" w:ascii="华文仿宋" w:hAnsi="华文仿宋" w:eastAsia="华文仿宋"/>
          <w:sz w:val="32"/>
          <w:szCs w:val="32"/>
        </w:rPr>
        <w:t>的办学定位、人才培养目标、专业设置、办学规模、办学体制、筹资渠道、人员编制等重要问题，并成立了山西能源学院筹备领导组，领导组下设办公室，办公室挂靠在省教育厅，负责统筹、协调和推进各项筹建工作。</w:t>
      </w:r>
    </w:p>
    <w:p>
      <w:pPr>
        <w:rPr>
          <w:rFonts w:hint="eastAsia" w:ascii="华文仿宋" w:hAnsi="华文仿宋" w:eastAsia="华文仿宋"/>
          <w:color w:val="000000" w:themeColor="text1"/>
          <w:sz w:val="32"/>
          <w:szCs w:val="32"/>
        </w:rPr>
      </w:pPr>
      <w:r>
        <w:rPr>
          <w:rFonts w:hint="eastAsia" w:ascii="华文仿宋" w:hAnsi="华文仿宋" w:eastAsia="华文仿宋"/>
          <w:sz w:val="32"/>
          <w:szCs w:val="32"/>
        </w:rPr>
        <w:t xml:space="preserve">    </w:t>
      </w:r>
      <w:r>
        <w:rPr>
          <w:rFonts w:hint="eastAsia" w:ascii="华文仿宋" w:hAnsi="华文仿宋" w:eastAsia="华文仿宋"/>
          <w:color w:val="000000" w:themeColor="text1"/>
          <w:sz w:val="32"/>
          <w:szCs w:val="32"/>
        </w:rPr>
        <w:t>筹建以来，学院师生全力推进新校区建设、学科专业建设、师资队伍建设、实验实训条件建设、理事会建设和现代大学制度建设。2014下半年，新校区具备入住条件，全校师生顺利搬迁，</w:t>
      </w:r>
      <w:r>
        <w:rPr>
          <w:rFonts w:ascii="华文仿宋" w:hAnsi="华文仿宋" w:eastAsia="华文仿宋"/>
          <w:color w:val="000000" w:themeColor="text1"/>
          <w:sz w:val="32"/>
          <w:szCs w:val="32"/>
        </w:rPr>
        <w:t>与太原理工大学合作招收了首批431名本科生</w:t>
      </w:r>
      <w:r>
        <w:rPr>
          <w:rFonts w:hint="eastAsia" w:ascii="华文仿宋" w:hAnsi="华文仿宋" w:eastAsia="华文仿宋"/>
          <w:color w:val="000000" w:themeColor="text1"/>
          <w:sz w:val="32"/>
          <w:szCs w:val="32"/>
        </w:rPr>
        <w:t>，2015年，与太原理工大学合作招收了第二批451名本科生，</w:t>
      </w:r>
      <w:r>
        <w:rPr>
          <w:rFonts w:hint="eastAsia" w:ascii="华文仿宋" w:hAnsi="华文仿宋" w:eastAsia="华文仿宋"/>
          <w:color w:val="000000" w:themeColor="text1"/>
          <w:sz w:val="32"/>
          <w:szCs w:val="32"/>
          <w:lang w:eastAsia="zh-CN"/>
        </w:rPr>
        <w:t>经全院师生两年的共同努力，</w:t>
      </w:r>
      <w:r>
        <w:rPr>
          <w:rFonts w:hint="eastAsia" w:ascii="华文仿宋" w:hAnsi="华文仿宋" w:eastAsia="华文仿宋"/>
          <w:color w:val="000000" w:themeColor="text1"/>
          <w:sz w:val="32"/>
          <w:szCs w:val="32"/>
          <w:lang w:val="en-US" w:eastAsia="zh-CN"/>
        </w:rPr>
        <w:t>2016年3月22日，教育部以教发函【2016】72号文《教育部关于同意建立山西能源学院的函》，2016年5月29日，山西省人民政府以晋政函【2016】57号文《山西省人民政府关于转发，&lt;教育部关于同意建立山西能源学院的函&gt;的通知》，标志着我院升本转制成功，学院正式成为一所本科院校，学院的发展迈入了一个新的历史阶段。</w:t>
      </w:r>
      <w:r>
        <w:rPr>
          <w:rFonts w:hint="eastAsia" w:ascii="华文仿宋" w:hAnsi="华文仿宋" w:eastAsia="华文仿宋"/>
          <w:color w:val="000000" w:themeColor="text1"/>
          <w:sz w:val="32"/>
          <w:szCs w:val="32"/>
        </w:rPr>
        <w:t>2016年</w:t>
      </w:r>
      <w:r>
        <w:rPr>
          <w:rFonts w:hint="eastAsia" w:ascii="华文仿宋" w:hAnsi="华文仿宋" w:eastAsia="华文仿宋"/>
          <w:color w:val="000000" w:themeColor="text1"/>
          <w:sz w:val="32"/>
          <w:szCs w:val="32"/>
          <w:lang w:val="en-US" w:eastAsia="zh-CN"/>
        </w:rPr>
        <w:t>秋</w:t>
      </w:r>
      <w:r>
        <w:rPr>
          <w:rFonts w:hint="eastAsia" w:ascii="华文仿宋" w:hAnsi="华文仿宋" w:eastAsia="华文仿宋"/>
          <w:color w:val="000000" w:themeColor="text1"/>
          <w:sz w:val="32"/>
          <w:szCs w:val="32"/>
          <w:lang w:eastAsia="zh-CN"/>
        </w:rPr>
        <w:t>季</w:t>
      </w:r>
      <w:r>
        <w:rPr>
          <w:rFonts w:hint="eastAsia"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lang w:eastAsia="zh-CN"/>
        </w:rPr>
        <w:t>学院</w:t>
      </w:r>
      <w:r>
        <w:rPr>
          <w:rFonts w:hint="eastAsia" w:ascii="华文仿宋" w:hAnsi="华文仿宋" w:eastAsia="华文仿宋"/>
          <w:color w:val="000000" w:themeColor="text1"/>
          <w:sz w:val="32"/>
          <w:szCs w:val="32"/>
        </w:rPr>
        <w:t>独立招收942名本科生，学院办学实力明显提升，办学特色日益凸显，发展后劲不断增强。</w:t>
      </w:r>
    </w:p>
    <w:p>
      <w:pPr>
        <w:rPr>
          <w:rFonts w:ascii="华文仿宋" w:hAnsi="华文仿宋" w:eastAsia="华文仿宋"/>
          <w:color w:val="000000" w:themeColor="text1"/>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山西能源学院以新</w:t>
      </w:r>
      <w:r>
        <w:rPr>
          <w:rFonts w:hint="eastAsia" w:ascii="华文仿宋" w:hAnsi="华文仿宋" w:eastAsia="华文仿宋"/>
          <w:color w:val="000000" w:themeColor="text1"/>
          <w:sz w:val="32"/>
          <w:szCs w:val="32"/>
        </w:rPr>
        <w:t>体制</w:t>
      </w:r>
      <w:r>
        <w:rPr>
          <w:rFonts w:hint="eastAsia" w:ascii="华文仿宋" w:hAnsi="华文仿宋" w:eastAsia="华文仿宋"/>
          <w:color w:val="000000" w:themeColor="text1"/>
          <w:sz w:val="32"/>
          <w:szCs w:val="32"/>
          <w:lang w:eastAsia="zh-CN"/>
        </w:rPr>
        <w:t>建设</w:t>
      </w:r>
      <w:r>
        <w:rPr>
          <w:rFonts w:hint="eastAsia" w:ascii="华文仿宋" w:hAnsi="华文仿宋" w:eastAsia="华文仿宋"/>
          <w:color w:val="000000" w:themeColor="text1"/>
          <w:sz w:val="32"/>
          <w:szCs w:val="32"/>
        </w:rPr>
        <w:t>、新机制运行、新模式办学。山西能源企业大力支持学院的建</w:t>
      </w:r>
      <w:r>
        <w:rPr>
          <w:rFonts w:hint="eastAsia" w:ascii="华文仿宋" w:hAnsi="华文仿宋" w:eastAsia="华文仿宋"/>
          <w:color w:val="000000" w:themeColor="text1"/>
          <w:sz w:val="32"/>
          <w:szCs w:val="32"/>
          <w:lang w:val="en-US" w:eastAsia="zh-CN"/>
        </w:rPr>
        <w:t>设</w:t>
      </w:r>
      <w:r>
        <w:rPr>
          <w:rFonts w:hint="eastAsia" w:ascii="华文仿宋" w:hAnsi="华文仿宋" w:eastAsia="华文仿宋"/>
          <w:color w:val="000000" w:themeColor="text1"/>
          <w:sz w:val="32"/>
          <w:szCs w:val="32"/>
        </w:rPr>
        <w:t>，十一所大型能源企业作为常务理事单位，加入山西能源学院理事会，开展捐资助学，并积极参与学院的专业论证与人才培养工作。理事会作为学院科学决策、民主监督、社会参与的重要组织形式和制度基础，进一步推进了校企双方的广泛合作和生产教学的深度融合。</w:t>
      </w:r>
    </w:p>
    <w:p>
      <w:pPr>
        <w:rPr>
          <w:rFonts w:ascii="华文仿宋" w:hAnsi="华文仿宋" w:eastAsia="华文仿宋"/>
          <w:color w:val="000000" w:themeColor="text1"/>
          <w:sz w:val="32"/>
          <w:szCs w:val="32"/>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olor w:val="000000" w:themeColor="text1"/>
          <w:sz w:val="32"/>
          <w:szCs w:val="32"/>
          <w:lang w:val="en-US" w:eastAsia="zh-CN"/>
        </w:rPr>
        <w:t xml:space="preserve">    </w:t>
      </w:r>
      <w:r>
        <w:rPr>
          <w:rFonts w:hint="eastAsia" w:ascii="华文仿宋" w:hAnsi="华文仿宋" w:eastAsia="华文仿宋"/>
          <w:color w:val="000000" w:themeColor="text1"/>
          <w:sz w:val="32"/>
          <w:szCs w:val="32"/>
        </w:rPr>
        <w:t>在政府、企业和全社会的关心支持下，学院全体教职工将努力践行“服务能源企业、推动地方经济发展”的办学宗旨，按照应用技术型高校的办学定位，以学科专业建设为龙头，双师型师资队伍建设为关键，实验实训实习基地建设为重点，应用技术人才培养为根本，体制机制创新为动力，把山西能源学院建设成为一所社会满意、企业满意、政府满意的特色鲜明的高等院校，为山西省高等教育结构的调整，能源革命的推进，经济社会的发展，做出更大的贡献。</w:t>
      </w:r>
    </w:p>
    <w:p>
      <w:pPr>
        <w:pStyle w:val="19"/>
        <w:numPr>
          <w:ilvl w:val="0"/>
          <w:numId w:val="1"/>
        </w:numPr>
        <w:ind w:firstLineChars="0"/>
        <w:rPr>
          <w:rFonts w:ascii="黑体" w:hAnsi="黑体" w:eastAsia="黑体"/>
          <w:color w:val="000000" w:themeColor="text1"/>
          <w:sz w:val="36"/>
          <w:szCs w:val="36"/>
        </w:rPr>
      </w:pPr>
      <w:r>
        <w:rPr>
          <w:rFonts w:hint="eastAsia" w:ascii="黑体" w:hAnsi="黑体" w:eastAsia="黑体"/>
          <w:color w:val="000000" w:themeColor="text1"/>
          <w:sz w:val="36"/>
          <w:szCs w:val="36"/>
        </w:rPr>
        <w:t>毕业生基本情况</w:t>
      </w:r>
    </w:p>
    <w:p>
      <w:pPr>
        <w:pStyle w:val="19"/>
        <w:numPr>
          <w:ilvl w:val="0"/>
          <w:numId w:val="3"/>
        </w:numPr>
        <w:ind w:firstLineChars="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毕业生人数及构成</w:t>
      </w:r>
    </w:p>
    <w:p>
      <w:pPr>
        <w:ind w:firstLine="640" w:firstLineChars="200"/>
        <w:rPr>
          <w:rFonts w:hint="eastAsia" w:ascii="华文仿宋" w:hAnsi="华文仿宋" w:eastAsia="华文仿宋"/>
          <w:sz w:val="32"/>
          <w:szCs w:val="32"/>
        </w:rPr>
      </w:pPr>
      <w:r>
        <w:rPr>
          <w:rFonts w:hint="eastAsia" w:ascii="华文仿宋" w:hAnsi="华文仿宋" w:eastAsia="华文仿宋"/>
          <w:color w:val="000000" w:themeColor="text1"/>
          <w:sz w:val="32"/>
          <w:szCs w:val="32"/>
        </w:rPr>
        <w:t>2016年我院共有18个</w:t>
      </w:r>
      <w:r>
        <w:rPr>
          <w:rFonts w:hint="eastAsia" w:ascii="华文仿宋" w:hAnsi="华文仿宋" w:eastAsia="华文仿宋"/>
          <w:color w:val="000000" w:themeColor="text1"/>
          <w:sz w:val="32"/>
          <w:szCs w:val="32"/>
          <w:lang w:eastAsia="zh-CN"/>
        </w:rPr>
        <w:t>专科</w:t>
      </w:r>
      <w:r>
        <w:rPr>
          <w:rFonts w:hint="eastAsia" w:ascii="华文仿宋" w:hAnsi="华文仿宋" w:eastAsia="华文仿宋"/>
          <w:color w:val="000000" w:themeColor="text1"/>
          <w:sz w:val="32"/>
          <w:szCs w:val="32"/>
        </w:rPr>
        <w:t>专业，1155人毕业，其中，市场营销67人，工商企业管理59人，会计电算化174人，计算机应用技术43人，计算机信息管理56人，广告设计与制作57人，应用电子技术36人，酒店管理20人，矿井通风</w:t>
      </w:r>
      <w:r>
        <w:rPr>
          <w:rFonts w:hint="eastAsia" w:ascii="华文仿宋" w:hAnsi="华文仿宋" w:eastAsia="华文仿宋"/>
          <w:sz w:val="32"/>
          <w:szCs w:val="32"/>
        </w:rPr>
        <w:t>与安全54人，工程地质勘查97</w:t>
      </w:r>
      <w:r>
        <w:rPr>
          <w:rFonts w:hint="eastAsia" w:ascii="华文仿宋" w:hAnsi="华文仿宋" w:eastAsia="华文仿宋"/>
          <w:sz w:val="32"/>
          <w:szCs w:val="32"/>
          <w:lang w:eastAsia="zh-CN"/>
        </w:rPr>
        <w:t>人</w:t>
      </w:r>
      <w:r>
        <w:rPr>
          <w:rFonts w:hint="eastAsia" w:ascii="华文仿宋" w:hAnsi="华文仿宋" w:eastAsia="华文仿宋"/>
          <w:sz w:val="32"/>
          <w:szCs w:val="32"/>
        </w:rPr>
        <w:t>，矿山测量71人，矿山机电96人，机械设计与制造37人，煤矿开采技术58人，建筑工程技术56人，矿井建设37 人</w:t>
      </w:r>
      <w:r>
        <w:rPr>
          <w:rFonts w:hint="eastAsia" w:ascii="华文仿宋" w:hAnsi="华文仿宋" w:eastAsia="华文仿宋"/>
          <w:sz w:val="32"/>
          <w:szCs w:val="32"/>
          <w:lang w:eastAsia="zh-CN"/>
        </w:rPr>
        <w:t>，</w:t>
      </w:r>
      <w:r>
        <w:rPr>
          <w:rFonts w:hint="eastAsia" w:ascii="华文仿宋" w:hAnsi="华文仿宋" w:eastAsia="华文仿宋"/>
          <w:sz w:val="32"/>
          <w:szCs w:val="32"/>
        </w:rPr>
        <w:t>建筑工程管理36人，煤炭深加工与利用101</w:t>
      </w:r>
      <w:r>
        <w:rPr>
          <w:rFonts w:hint="eastAsia" w:ascii="华文仿宋" w:hAnsi="华文仿宋" w:eastAsia="华文仿宋"/>
          <w:sz w:val="32"/>
          <w:szCs w:val="32"/>
          <w:lang w:eastAsia="zh-CN"/>
        </w:rPr>
        <w:t>人。</w:t>
      </w:r>
    </w:p>
    <w:p>
      <w:pPr>
        <w:pStyle w:val="22"/>
        <w:spacing w:after="156"/>
        <w:ind w:firstLine="482"/>
        <w:rPr>
          <w:rStyle w:val="7"/>
          <w:rFonts w:eastAsia="宋体"/>
          <w:sz w:val="24"/>
          <w:szCs w:val="24"/>
        </w:rPr>
      </w:pPr>
      <w:r>
        <w:rPr>
          <w:rStyle w:val="7"/>
          <w:rFonts w:hint="eastAsia"/>
          <w:sz w:val="24"/>
          <w:szCs w:val="24"/>
        </w:rPr>
        <w:t xml:space="preserve">表1  </w:t>
      </w:r>
      <w:r>
        <w:rPr>
          <w:rStyle w:val="7"/>
          <w:sz w:val="24"/>
          <w:szCs w:val="24"/>
        </w:rPr>
        <w:t>201</w:t>
      </w:r>
      <w:r>
        <w:rPr>
          <w:rStyle w:val="7"/>
          <w:rFonts w:hint="eastAsia"/>
          <w:sz w:val="24"/>
          <w:szCs w:val="24"/>
        </w:rPr>
        <w:t>6届毕业生系</w:t>
      </w:r>
      <w:r>
        <w:rPr>
          <w:rStyle w:val="7"/>
          <w:rFonts w:hint="eastAsia"/>
          <w:sz w:val="24"/>
          <w:szCs w:val="24"/>
          <w:lang w:eastAsia="zh-CN"/>
        </w:rPr>
        <w:t>（</w:t>
      </w:r>
      <w:r>
        <w:rPr>
          <w:rStyle w:val="7"/>
          <w:rFonts w:hint="eastAsia"/>
          <w:sz w:val="24"/>
          <w:szCs w:val="24"/>
        </w:rPr>
        <w:t>部</w:t>
      </w:r>
      <w:r>
        <w:rPr>
          <w:rStyle w:val="7"/>
          <w:rFonts w:hint="eastAsia"/>
          <w:sz w:val="24"/>
          <w:szCs w:val="24"/>
          <w:lang w:eastAsia="zh-CN"/>
        </w:rPr>
        <w:t>）</w:t>
      </w:r>
      <w:r>
        <w:rPr>
          <w:rStyle w:val="7"/>
          <w:rFonts w:hint="eastAsia"/>
          <w:sz w:val="24"/>
          <w:szCs w:val="24"/>
        </w:rPr>
        <w:t>及专业</w:t>
      </w:r>
      <w:r>
        <w:rPr>
          <w:rStyle w:val="7"/>
          <w:rFonts w:hint="eastAsia"/>
          <w:sz w:val="24"/>
          <w:szCs w:val="24"/>
          <w:lang w:eastAsia="zh-CN"/>
        </w:rPr>
        <w:t>毕业生</w:t>
      </w:r>
      <w:r>
        <w:rPr>
          <w:rStyle w:val="7"/>
          <w:rFonts w:hint="eastAsia"/>
          <w:sz w:val="24"/>
          <w:szCs w:val="24"/>
        </w:rPr>
        <w:t>构成</w:t>
      </w:r>
    </w:p>
    <w:tbl>
      <w:tblPr>
        <w:tblStyle w:val="16"/>
        <w:tblW w:w="92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85"/>
        <w:gridCol w:w="2580"/>
        <w:gridCol w:w="1757"/>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blHeader/>
          <w:jc w:val="center"/>
        </w:trPr>
        <w:tc>
          <w:tcPr>
            <w:tcW w:w="2494" w:type="dxa"/>
            <w:shd w:val="clear" w:color="auto" w:fill="95B3D7" w:themeFill="accent1" w:themeFillTint="99"/>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color w:val="000000"/>
                <w:kern w:val="0"/>
                <w:sz w:val="20"/>
                <w:szCs w:val="20"/>
              </w:rPr>
              <w:t>系部</w:t>
            </w:r>
          </w:p>
        </w:tc>
        <w:tc>
          <w:tcPr>
            <w:tcW w:w="2665" w:type="dxa"/>
            <w:gridSpan w:val="2"/>
            <w:shd w:val="clear" w:color="auto" w:fill="95B3D7" w:themeFill="accent1" w:themeFillTint="99"/>
            <w:vAlign w:val="center"/>
          </w:tcPr>
          <w:p>
            <w:pPr>
              <w:widowControl/>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专业</w:t>
            </w:r>
          </w:p>
        </w:tc>
        <w:tc>
          <w:tcPr>
            <w:tcW w:w="1757" w:type="dxa"/>
            <w:shd w:val="clear" w:color="auto" w:fill="95B3D7" w:themeFill="accent1" w:themeFillTint="99"/>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color w:val="000000"/>
                <w:kern w:val="0"/>
                <w:sz w:val="20"/>
                <w:szCs w:val="20"/>
              </w:rPr>
              <w:t>人数</w:t>
            </w:r>
          </w:p>
        </w:tc>
        <w:tc>
          <w:tcPr>
            <w:tcW w:w="2381" w:type="dxa"/>
            <w:shd w:val="clear" w:color="auto" w:fill="95B3D7" w:themeFill="accent1" w:themeFillTint="99"/>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color w:val="000000"/>
                <w:kern w:val="0"/>
                <w:sz w:val="20"/>
                <w:szCs w:val="20"/>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restart"/>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经济管理系</w:t>
            </w:r>
          </w:p>
        </w:tc>
        <w:tc>
          <w:tcPr>
            <w:tcW w:w="2665" w:type="dxa"/>
            <w:gridSpan w:val="2"/>
            <w:vAlign w:val="center"/>
          </w:tcPr>
          <w:p>
            <w:pPr>
              <w:jc w:val="center"/>
              <w:rPr>
                <w:rFonts w:ascii="Calibri" w:hAnsi="Calibri" w:eastAsia="宋体" w:cs="Times New Roman"/>
                <w:bCs/>
                <w:kern w:val="0"/>
                <w:szCs w:val="21"/>
              </w:rPr>
            </w:pPr>
            <w:r>
              <w:rPr>
                <w:rFonts w:hint="eastAsia" w:ascii="Calibri" w:hAnsi="Calibri" w:eastAsia="宋体" w:cs="Times New Roman"/>
                <w:bCs/>
                <w:kern w:val="0"/>
                <w:szCs w:val="21"/>
              </w:rPr>
              <w:t>市场营销</w:t>
            </w:r>
          </w:p>
        </w:tc>
        <w:tc>
          <w:tcPr>
            <w:tcW w:w="1757" w:type="dxa"/>
            <w:vAlign w:val="center"/>
          </w:tcPr>
          <w:p>
            <w:pPr>
              <w:jc w:val="center"/>
              <w:rPr>
                <w:rFonts w:ascii="Calibri" w:hAnsi="Calibri" w:eastAsia="宋体" w:cs="Times New Roman"/>
                <w:bCs/>
                <w:kern w:val="0"/>
                <w:szCs w:val="21"/>
              </w:rPr>
            </w:pPr>
            <w:r>
              <w:rPr>
                <w:rFonts w:hint="eastAsia" w:ascii="Calibri" w:hAnsi="Calibri" w:eastAsia="宋体" w:cs="Times New Roman"/>
                <w:bCs/>
                <w:kern w:val="0"/>
                <w:szCs w:val="21"/>
              </w:rPr>
              <w:t>67</w:t>
            </w:r>
          </w:p>
        </w:tc>
        <w:tc>
          <w:tcPr>
            <w:tcW w:w="2381" w:type="dxa"/>
            <w:vAlign w:val="center"/>
          </w:tcPr>
          <w:p>
            <w:pPr>
              <w:jc w:val="center"/>
              <w:rPr>
                <w:rFonts w:ascii="Calibri" w:hAnsi="Calibri" w:eastAsia="宋体" w:cs="Times New Roman"/>
                <w:bCs/>
                <w:kern w:val="0"/>
                <w:szCs w:val="21"/>
              </w:rPr>
            </w:pPr>
            <w:r>
              <w:rPr>
                <w:rFonts w:hint="eastAsia" w:ascii="Calibri" w:hAnsi="Calibri" w:eastAsia="宋体" w:cs="Times New Roman"/>
                <w:bCs/>
                <w:kern w:val="0"/>
                <w:szCs w:val="21"/>
              </w:rPr>
              <w:t>5.80</w:t>
            </w:r>
            <w:r>
              <w:rPr>
                <w:rFonts w:ascii="Calibri" w:hAnsi="Calibri" w:eastAsia="宋体" w:cs="Times New Roman"/>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工商企业管理</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59</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5.11</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会计电算化</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174</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15.06</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300</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25.97</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restart"/>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计算机系</w:t>
            </w: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计算机应用技术</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43</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3.72</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计算机信息管理</w:t>
            </w:r>
          </w:p>
        </w:tc>
        <w:tc>
          <w:tcPr>
            <w:tcW w:w="1757" w:type="dxa"/>
            <w:vAlign w:val="center"/>
          </w:tcPr>
          <w:p>
            <w:pPr>
              <w:jc w:val="center"/>
              <w:rPr>
                <w:rFonts w:hint="eastAsia" w:ascii="Calibri" w:hAnsi="Calibri" w:eastAsia="宋体" w:cs="Times New Roman"/>
                <w:kern w:val="0"/>
                <w:szCs w:val="21"/>
                <w:lang w:eastAsia="zh-CN"/>
              </w:rPr>
            </w:pPr>
            <w:r>
              <w:rPr>
                <w:rFonts w:hint="eastAsia" w:ascii="Calibri" w:hAnsi="Calibri" w:eastAsia="宋体" w:cs="Times New Roman"/>
                <w:kern w:val="0"/>
                <w:szCs w:val="21"/>
                <w:lang w:val="en-US" w:eastAsia="zh-CN"/>
              </w:rPr>
              <w:t>56</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4.76</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广告设计与制作</w:t>
            </w:r>
          </w:p>
        </w:tc>
        <w:tc>
          <w:tcPr>
            <w:tcW w:w="1757" w:type="dxa"/>
            <w:vAlign w:val="center"/>
          </w:tcPr>
          <w:p>
            <w:pPr>
              <w:jc w:val="center"/>
              <w:rPr>
                <w:rFonts w:hint="eastAsia" w:ascii="Calibri" w:hAnsi="Calibri" w:eastAsia="宋体" w:cs="Times New Roman"/>
                <w:kern w:val="0"/>
                <w:szCs w:val="21"/>
                <w:lang w:eastAsia="zh-CN"/>
              </w:rPr>
            </w:pPr>
            <w:r>
              <w:rPr>
                <w:rFonts w:hint="eastAsia" w:ascii="Calibri" w:hAnsi="Calibri" w:eastAsia="宋体" w:cs="Times New Roman"/>
                <w:kern w:val="0"/>
                <w:szCs w:val="21"/>
                <w:lang w:val="en-US" w:eastAsia="zh-CN"/>
              </w:rPr>
              <w:t>57</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4.85</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15</w:t>
            </w:r>
            <w:r>
              <w:rPr>
                <w:rFonts w:hint="eastAsia" w:ascii="Calibri" w:hAnsi="Calibri" w:eastAsia="宋体" w:cs="Times New Roman"/>
                <w:b/>
                <w:kern w:val="0"/>
                <w:szCs w:val="21"/>
                <w:lang w:val="en-US" w:eastAsia="zh-CN"/>
              </w:rPr>
              <w:t>6</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13.</w:t>
            </w:r>
            <w:r>
              <w:rPr>
                <w:rFonts w:hint="eastAsia" w:ascii="Calibri" w:hAnsi="Calibri" w:eastAsia="宋体" w:cs="Times New Roman"/>
                <w:b/>
                <w:kern w:val="0"/>
                <w:szCs w:val="21"/>
                <w:lang w:val="en-US" w:eastAsia="zh-CN"/>
              </w:rPr>
              <w:t>51</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电气工程</w:t>
            </w:r>
            <w:r>
              <w:rPr>
                <w:rFonts w:cs="Times New Roman" w:asciiTheme="minorEastAsia" w:hAnsiTheme="minorEastAsia"/>
                <w:color w:val="000000"/>
                <w:kern w:val="0"/>
                <w:sz w:val="20"/>
                <w:szCs w:val="20"/>
              </w:rPr>
              <w:t>系</w:t>
            </w: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应用电子技术</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36</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3.12</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36</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3.12</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社科部</w:t>
            </w: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酒店管理</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20</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1.73</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20</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1.73</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restart"/>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地质测绘工程系</w:t>
            </w: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工程地质勘查</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97</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8.40</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Times New Roman" w:asciiTheme="minorEastAsia" w:hAnsiTheme="minorEastAsia"/>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矿山测量</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71</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168</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14.5</w:t>
            </w:r>
            <w:r>
              <w:rPr>
                <w:rFonts w:hint="eastAsia" w:ascii="Calibri" w:hAnsi="Calibri" w:eastAsia="宋体" w:cs="Times New Roman"/>
                <w:b/>
                <w:kern w:val="0"/>
                <w:szCs w:val="21"/>
                <w:lang w:val="en-US" w:eastAsia="zh-CN"/>
              </w:rPr>
              <w:t>4</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579" w:type="dxa"/>
            <w:gridSpan w:val="2"/>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安全工程</w:t>
            </w:r>
            <w:r>
              <w:rPr>
                <w:rFonts w:hint="eastAsia" w:cs="宋体" w:asciiTheme="minorEastAsia" w:hAnsiTheme="minorEastAsia"/>
                <w:b/>
                <w:color w:val="000000"/>
                <w:kern w:val="0"/>
                <w:sz w:val="20"/>
                <w:szCs w:val="20"/>
              </w:rPr>
              <w:t>系</w:t>
            </w:r>
          </w:p>
        </w:tc>
        <w:tc>
          <w:tcPr>
            <w:tcW w:w="2580" w:type="dxa"/>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矿井通风</w:t>
            </w:r>
            <w:r>
              <w:rPr>
                <w:rFonts w:hint="eastAsia" w:cs="宋体" w:asciiTheme="minorEastAsia" w:hAnsiTheme="minorEastAsia"/>
                <w:b w:val="0"/>
                <w:bCs/>
                <w:color w:val="000000"/>
                <w:kern w:val="0"/>
                <w:sz w:val="20"/>
                <w:szCs w:val="20"/>
              </w:rPr>
              <w:t>与</w:t>
            </w:r>
            <w:r>
              <w:rPr>
                <w:rFonts w:hint="eastAsia" w:cs="Times New Roman" w:asciiTheme="minorEastAsia" w:hAnsiTheme="minorEastAsia"/>
                <w:color w:val="000000"/>
                <w:kern w:val="0"/>
                <w:sz w:val="20"/>
                <w:szCs w:val="20"/>
              </w:rPr>
              <w:t>安全</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kern w:val="0"/>
                <w:szCs w:val="21"/>
              </w:rPr>
              <w:t>54</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kern w:val="0"/>
                <w:szCs w:val="21"/>
              </w:rPr>
              <w:t>4.66</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cs="宋体" w:asciiTheme="minorEastAsia" w:hAnsiTheme="minorEastAsia"/>
                <w:b/>
                <w:color w:val="000000"/>
                <w:kern w:val="0"/>
                <w:sz w:val="20"/>
                <w:szCs w:val="20"/>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54</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4.6</w:t>
            </w:r>
            <w:r>
              <w:rPr>
                <w:rFonts w:hint="eastAsia" w:ascii="Calibri" w:hAnsi="Calibri" w:eastAsia="宋体" w:cs="Times New Roman"/>
                <w:b/>
                <w:kern w:val="0"/>
                <w:szCs w:val="21"/>
                <w:lang w:val="en-US" w:eastAsia="zh-CN"/>
              </w:rPr>
              <w:t>7</w:t>
            </w:r>
            <w:r>
              <w:rPr>
                <w:rFonts w:hint="eastAsia"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restart"/>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矿业工程系</w:t>
            </w: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建筑工程技术</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56</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4.85</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矿井建设</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37</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3.20</w:t>
            </w:r>
            <w:r>
              <w:rPr>
                <w:rFonts w:ascii="Calibri" w:hAnsi="Calibri"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煤炭深加工与利用</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101</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建筑工程管理</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36</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494" w:type="dxa"/>
            <w:vMerge w:val="continue"/>
            <w:vAlign w:val="center"/>
          </w:tcPr>
          <w:p>
            <w:pPr>
              <w:jc w:val="center"/>
              <w:rPr>
                <w:rFonts w:cs="宋体" w:asciiTheme="minorEastAsia" w:hAnsiTheme="minorEastAsia"/>
                <w:b/>
                <w:color w:val="000000"/>
                <w:kern w:val="0"/>
                <w:sz w:val="20"/>
                <w:szCs w:val="20"/>
              </w:rPr>
            </w:pPr>
          </w:p>
        </w:tc>
        <w:tc>
          <w:tcPr>
            <w:tcW w:w="2665" w:type="dxa"/>
            <w:gridSpan w:val="2"/>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煤炭开采技术</w:t>
            </w:r>
          </w:p>
        </w:tc>
        <w:tc>
          <w:tcPr>
            <w:tcW w:w="1757"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58</w:t>
            </w:r>
          </w:p>
        </w:tc>
        <w:tc>
          <w:tcPr>
            <w:tcW w:w="2381" w:type="dxa"/>
            <w:vAlign w:val="center"/>
          </w:tcPr>
          <w:p>
            <w:pPr>
              <w:jc w:val="center"/>
              <w:rPr>
                <w:rFonts w:ascii="Calibri" w:hAnsi="Calibri" w:eastAsia="宋体" w:cs="Times New Roman"/>
                <w:kern w:val="0"/>
                <w:szCs w:val="21"/>
              </w:rPr>
            </w:pPr>
            <w:r>
              <w:rPr>
                <w:rFonts w:hint="eastAsia" w:ascii="Calibri" w:hAnsi="Calibri" w:eastAsia="宋体" w:cs="Times New Roman"/>
                <w:kern w:val="0"/>
                <w:szCs w:val="21"/>
              </w:rPr>
              <w:t>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jc w:val="center"/>
        </w:trPr>
        <w:tc>
          <w:tcPr>
            <w:tcW w:w="5159" w:type="dxa"/>
            <w:gridSpan w:val="3"/>
            <w:vAlign w:val="center"/>
          </w:tcPr>
          <w:p>
            <w:pPr>
              <w:jc w:val="center"/>
              <w:rPr>
                <w:rFonts w:ascii="Calibri" w:hAnsi="Calibri" w:eastAsia="宋体" w:cs="Times New Roman"/>
                <w:b/>
                <w:kern w:val="0"/>
                <w:szCs w:val="21"/>
              </w:rPr>
            </w:pPr>
            <w:r>
              <w:rPr>
                <w:rFonts w:hint="eastAsia" w:cs="宋体" w:asciiTheme="minorEastAsia" w:hAnsiTheme="minorEastAsia"/>
                <w:b/>
                <w:color w:val="000000"/>
                <w:kern w:val="0"/>
                <w:sz w:val="20"/>
                <w:szCs w:val="20"/>
              </w:rPr>
              <w:t>小计</w:t>
            </w:r>
          </w:p>
        </w:tc>
        <w:tc>
          <w:tcPr>
            <w:tcW w:w="1757"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288</w:t>
            </w:r>
          </w:p>
        </w:tc>
        <w:tc>
          <w:tcPr>
            <w:tcW w:w="2381" w:type="dxa"/>
            <w:vAlign w:val="center"/>
          </w:tcPr>
          <w:p>
            <w:pPr>
              <w:jc w:val="center"/>
              <w:rPr>
                <w:rFonts w:ascii="Calibri" w:hAnsi="Calibri" w:eastAsia="宋体" w:cs="Times New Roman"/>
                <w:b/>
                <w:kern w:val="0"/>
                <w:szCs w:val="21"/>
              </w:rPr>
            </w:pPr>
            <w:r>
              <w:rPr>
                <w:rFonts w:hint="eastAsia" w:ascii="Calibri" w:hAnsi="Calibri" w:eastAsia="宋体" w:cs="Times New Roman"/>
                <w:b/>
                <w:kern w:val="0"/>
                <w:szCs w:val="21"/>
              </w:rPr>
              <w:t>24.94</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579" w:type="dxa"/>
            <w:gridSpan w:val="2"/>
            <w:vMerge w:val="restart"/>
            <w:vAlign w:val="center"/>
          </w:tcPr>
          <w:p>
            <w:pPr>
              <w:jc w:val="center"/>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机电工程系</w:t>
            </w:r>
          </w:p>
        </w:tc>
        <w:tc>
          <w:tcPr>
            <w:tcW w:w="2580" w:type="dxa"/>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矿山机电</w:t>
            </w:r>
          </w:p>
        </w:tc>
        <w:tc>
          <w:tcPr>
            <w:tcW w:w="1757" w:type="dxa"/>
            <w:vAlign w:val="center"/>
          </w:tcPr>
          <w:p>
            <w:pPr>
              <w:jc w:val="center"/>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96</w:t>
            </w:r>
          </w:p>
        </w:tc>
        <w:tc>
          <w:tcPr>
            <w:tcW w:w="2381" w:type="dxa"/>
            <w:vAlign w:val="center"/>
          </w:tcPr>
          <w:p>
            <w:pPr>
              <w:jc w:val="center"/>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579" w:type="dxa"/>
            <w:gridSpan w:val="2"/>
            <w:vMerge w:val="continue"/>
            <w:vAlign w:val="center"/>
          </w:tcPr>
          <w:p>
            <w:pPr>
              <w:jc w:val="center"/>
              <w:rPr>
                <w:rFonts w:cs="宋体" w:asciiTheme="minorEastAsia" w:hAnsiTheme="minorEastAsia"/>
                <w:b/>
                <w:color w:val="000000"/>
                <w:kern w:val="0"/>
                <w:sz w:val="20"/>
                <w:szCs w:val="20"/>
              </w:rPr>
            </w:pPr>
          </w:p>
        </w:tc>
        <w:tc>
          <w:tcPr>
            <w:tcW w:w="2580" w:type="dxa"/>
            <w:vAlign w:val="center"/>
          </w:tcPr>
          <w:p>
            <w:pPr>
              <w:jc w:val="center"/>
              <w:rPr>
                <w:rFonts w:cs="宋体" w:asciiTheme="minorEastAsia" w:hAnsiTheme="minorEastAsia"/>
                <w:b/>
                <w:color w:val="000000"/>
                <w:kern w:val="0"/>
                <w:sz w:val="20"/>
                <w:szCs w:val="20"/>
              </w:rPr>
            </w:pPr>
            <w:r>
              <w:rPr>
                <w:rFonts w:hint="eastAsia" w:cs="Times New Roman" w:asciiTheme="minorEastAsia" w:hAnsiTheme="minorEastAsia"/>
                <w:color w:val="000000"/>
                <w:kern w:val="0"/>
                <w:sz w:val="20"/>
                <w:szCs w:val="20"/>
              </w:rPr>
              <w:t>机械设计</w:t>
            </w:r>
            <w:r>
              <w:rPr>
                <w:rFonts w:hint="eastAsia" w:cs="宋体" w:asciiTheme="minorEastAsia" w:hAnsiTheme="minorEastAsia"/>
                <w:b w:val="0"/>
                <w:bCs/>
                <w:color w:val="000000"/>
                <w:kern w:val="0"/>
                <w:sz w:val="20"/>
                <w:szCs w:val="20"/>
              </w:rPr>
              <w:t>与</w:t>
            </w:r>
            <w:r>
              <w:rPr>
                <w:rFonts w:hint="eastAsia" w:cs="Times New Roman" w:asciiTheme="minorEastAsia" w:hAnsiTheme="minorEastAsia"/>
                <w:color w:val="000000"/>
                <w:kern w:val="0"/>
                <w:sz w:val="20"/>
                <w:szCs w:val="20"/>
              </w:rPr>
              <w:t>制造</w:t>
            </w:r>
          </w:p>
        </w:tc>
        <w:tc>
          <w:tcPr>
            <w:tcW w:w="1757" w:type="dxa"/>
            <w:vAlign w:val="center"/>
          </w:tcPr>
          <w:p>
            <w:pPr>
              <w:jc w:val="center"/>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37</w:t>
            </w:r>
          </w:p>
        </w:tc>
        <w:tc>
          <w:tcPr>
            <w:tcW w:w="2381" w:type="dxa"/>
            <w:vAlign w:val="center"/>
          </w:tcPr>
          <w:p>
            <w:pPr>
              <w:jc w:val="center"/>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jc w:val="center"/>
              <w:rPr>
                <w:rFonts w:cs="Times New Roman" w:asciiTheme="minorEastAsia" w:hAnsiTheme="minorEastAsia"/>
                <w:color w:val="000000"/>
                <w:kern w:val="0"/>
                <w:sz w:val="20"/>
                <w:szCs w:val="20"/>
              </w:rPr>
            </w:pPr>
            <w:r>
              <w:rPr>
                <w:rFonts w:hint="eastAsia" w:cs="宋体" w:asciiTheme="minorEastAsia" w:hAnsiTheme="minorEastAsia"/>
                <w:b/>
                <w:color w:val="000000"/>
                <w:kern w:val="0"/>
                <w:sz w:val="20"/>
                <w:szCs w:val="20"/>
              </w:rPr>
              <w:t>小计</w:t>
            </w:r>
          </w:p>
        </w:tc>
        <w:tc>
          <w:tcPr>
            <w:tcW w:w="1757" w:type="dxa"/>
            <w:vAlign w:val="center"/>
          </w:tcPr>
          <w:p>
            <w:pPr>
              <w:jc w:val="center"/>
              <w:rPr>
                <w:rFonts w:cs="Times New Roman" w:asciiTheme="minorEastAsia" w:hAnsiTheme="minorEastAsia"/>
                <w:color w:val="000000"/>
                <w:kern w:val="0"/>
                <w:sz w:val="20"/>
                <w:szCs w:val="20"/>
              </w:rPr>
            </w:pPr>
            <w:r>
              <w:rPr>
                <w:rFonts w:hint="eastAsia" w:ascii="Calibri" w:hAnsi="Calibri" w:eastAsia="宋体" w:cs="Times New Roman"/>
                <w:b/>
                <w:kern w:val="0"/>
                <w:szCs w:val="21"/>
              </w:rPr>
              <w:t>133</w:t>
            </w:r>
          </w:p>
        </w:tc>
        <w:tc>
          <w:tcPr>
            <w:tcW w:w="2381" w:type="dxa"/>
            <w:vAlign w:val="center"/>
          </w:tcPr>
          <w:p>
            <w:pPr>
              <w:jc w:val="center"/>
              <w:rPr>
                <w:rFonts w:cs="Times New Roman" w:asciiTheme="minorEastAsia" w:hAnsiTheme="minorEastAsia"/>
                <w:color w:val="000000"/>
                <w:kern w:val="0"/>
                <w:sz w:val="20"/>
                <w:szCs w:val="20"/>
              </w:rPr>
            </w:pPr>
            <w:r>
              <w:rPr>
                <w:rFonts w:hint="eastAsia" w:ascii="Calibri" w:hAnsi="Calibri" w:eastAsia="宋体" w:cs="Times New Roman"/>
                <w:b/>
                <w:kern w:val="0"/>
                <w:szCs w:val="21"/>
              </w:rPr>
              <w:t>11.5</w:t>
            </w:r>
            <w:r>
              <w:rPr>
                <w:rFonts w:hint="eastAsia" w:ascii="Calibri" w:hAnsi="Calibri" w:eastAsia="宋体" w:cs="Times New Roman"/>
                <w:b/>
                <w:kern w:val="0"/>
                <w:szCs w:val="21"/>
                <w:lang w:val="en-US" w:eastAsia="zh-CN"/>
              </w:rPr>
              <w:t>2</w:t>
            </w:r>
            <w:r>
              <w:rPr>
                <w:rFonts w:ascii="Calibri" w:hAnsi="Calibri" w:eastAsia="宋体" w:cs="Times New Roman"/>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159" w:type="dxa"/>
            <w:gridSpan w:val="3"/>
            <w:vAlign w:val="center"/>
          </w:tcPr>
          <w:p>
            <w:pPr>
              <w:widowControl/>
              <w:jc w:val="center"/>
              <w:rPr>
                <w:rFonts w:cs="Times New Roman" w:asciiTheme="minorEastAsia" w:hAnsiTheme="minorEastAsia"/>
                <w:b/>
                <w:color w:val="000000"/>
                <w:kern w:val="0"/>
                <w:sz w:val="20"/>
                <w:szCs w:val="20"/>
              </w:rPr>
            </w:pPr>
            <w:r>
              <w:rPr>
                <w:rFonts w:hint="eastAsia" w:cs="Times New Roman" w:asciiTheme="minorEastAsia" w:hAnsiTheme="minorEastAsia"/>
                <w:b/>
                <w:color w:val="000000"/>
                <w:kern w:val="0"/>
                <w:sz w:val="20"/>
                <w:szCs w:val="20"/>
              </w:rPr>
              <w:t>总体</w:t>
            </w:r>
          </w:p>
        </w:tc>
        <w:tc>
          <w:tcPr>
            <w:tcW w:w="1757" w:type="dxa"/>
            <w:vAlign w:val="center"/>
          </w:tcPr>
          <w:p>
            <w:pPr>
              <w:widowControl/>
              <w:jc w:val="center"/>
              <w:rPr>
                <w:rFonts w:cs="Times New Roman" w:asciiTheme="minorEastAsia" w:hAnsiTheme="minorEastAsia"/>
                <w:b/>
                <w:color w:val="000000"/>
                <w:kern w:val="0"/>
                <w:sz w:val="20"/>
                <w:szCs w:val="20"/>
              </w:rPr>
            </w:pPr>
            <w:r>
              <w:rPr>
                <w:rFonts w:hint="eastAsia" w:cs="Times New Roman" w:asciiTheme="minorEastAsia" w:hAnsiTheme="minorEastAsia"/>
                <w:b/>
                <w:color w:val="000000"/>
                <w:kern w:val="0"/>
                <w:sz w:val="20"/>
                <w:szCs w:val="20"/>
              </w:rPr>
              <w:t>1155</w:t>
            </w:r>
          </w:p>
        </w:tc>
        <w:tc>
          <w:tcPr>
            <w:tcW w:w="2381" w:type="dxa"/>
            <w:vAlign w:val="center"/>
          </w:tcPr>
          <w:p>
            <w:pPr>
              <w:widowControl/>
              <w:jc w:val="center"/>
              <w:rPr>
                <w:rFonts w:cs="Times New Roman" w:asciiTheme="minorEastAsia" w:hAnsiTheme="minorEastAsia"/>
                <w:b/>
                <w:kern w:val="0"/>
                <w:sz w:val="20"/>
                <w:szCs w:val="20"/>
              </w:rPr>
            </w:pPr>
            <w:r>
              <w:rPr>
                <w:rFonts w:cs="Times New Roman" w:asciiTheme="minorEastAsia" w:hAnsiTheme="minorEastAsia"/>
                <w:b/>
                <w:kern w:val="0"/>
                <w:sz w:val="20"/>
                <w:szCs w:val="20"/>
              </w:rPr>
              <w:t>100.00%</w:t>
            </w:r>
          </w:p>
        </w:tc>
      </w:tr>
    </w:tbl>
    <w:p>
      <w:pPr>
        <w:pStyle w:val="19"/>
        <w:ind w:firstLine="0" w:firstLineChars="0"/>
        <w:rPr>
          <w:rFonts w:ascii="华文仿宋" w:hAnsi="华文仿宋" w:eastAsia="华文仿宋"/>
          <w:sz w:val="32"/>
          <w:szCs w:val="32"/>
        </w:rPr>
      </w:pPr>
    </w:p>
    <w:p>
      <w:pPr>
        <w:pStyle w:val="19"/>
        <w:numPr>
          <w:ilvl w:val="0"/>
          <w:numId w:val="3"/>
        </w:numPr>
        <w:ind w:firstLineChars="0"/>
        <w:rPr>
          <w:rFonts w:ascii="华文仿宋" w:hAnsi="华文仿宋" w:eastAsia="华文仿宋"/>
          <w:sz w:val="32"/>
          <w:szCs w:val="32"/>
        </w:rPr>
      </w:pPr>
      <w:r>
        <w:rPr>
          <w:rFonts w:hint="eastAsia" w:ascii="华文仿宋" w:hAnsi="华文仿宋" w:eastAsia="华文仿宋"/>
          <w:sz w:val="32"/>
          <w:szCs w:val="32"/>
        </w:rPr>
        <w:t>毕业生就业情况</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截至2016年12月，就业人数</w:t>
      </w:r>
      <w:r>
        <w:rPr>
          <w:rFonts w:hint="eastAsia" w:ascii="华文仿宋" w:hAnsi="华文仿宋" w:eastAsia="华文仿宋"/>
          <w:sz w:val="32"/>
          <w:szCs w:val="32"/>
          <w:lang w:val="en-US" w:eastAsia="zh-CN"/>
        </w:rPr>
        <w:t>1131</w:t>
      </w:r>
      <w:r>
        <w:rPr>
          <w:rFonts w:hint="eastAsia" w:ascii="华文仿宋" w:hAnsi="华文仿宋" w:eastAsia="华文仿宋"/>
          <w:sz w:val="32"/>
          <w:szCs w:val="32"/>
        </w:rPr>
        <w:t>人，其中协议就业23人，项目就业10人（入伍</w:t>
      </w:r>
      <w:r>
        <w:rPr>
          <w:rFonts w:hint="eastAsia" w:ascii="华文仿宋" w:hAnsi="华文仿宋" w:eastAsia="华文仿宋"/>
          <w:sz w:val="32"/>
          <w:szCs w:val="32"/>
          <w:lang w:eastAsia="zh-CN"/>
        </w:rPr>
        <w:t>服兵役</w:t>
      </w:r>
      <w:r>
        <w:rPr>
          <w:rFonts w:hint="eastAsia" w:ascii="华文仿宋" w:hAnsi="华文仿宋" w:eastAsia="华文仿宋"/>
          <w:sz w:val="32"/>
          <w:szCs w:val="32"/>
        </w:rPr>
        <w:t>），专升本90人，灵活就业1008人，生源地待业24人</w:t>
      </w:r>
      <w:r>
        <w:rPr>
          <w:rFonts w:hint="eastAsia" w:ascii="华文仿宋" w:hAnsi="华文仿宋" w:eastAsia="华文仿宋"/>
          <w:sz w:val="32"/>
          <w:szCs w:val="32"/>
          <w:lang w:eastAsia="zh-CN"/>
        </w:rPr>
        <w:t>，</w:t>
      </w:r>
      <w:r>
        <w:rPr>
          <w:rFonts w:hint="eastAsia" w:ascii="华文仿宋" w:hAnsi="华文仿宋" w:eastAsia="华文仿宋"/>
          <w:sz w:val="32"/>
          <w:szCs w:val="32"/>
        </w:rPr>
        <w:t>初次就业率97.92 %。</w:t>
      </w:r>
    </w:p>
    <w:p>
      <w:pPr>
        <w:jc w:val="center"/>
        <w:rPr>
          <w:rFonts w:ascii="华文仿宋" w:hAnsi="华文仿宋" w:eastAsia="华文仿宋"/>
          <w:sz w:val="32"/>
          <w:szCs w:val="32"/>
        </w:rPr>
      </w:pPr>
      <w:r>
        <w:rPr>
          <w:rFonts w:hint="eastAsia" w:ascii="华文仿宋" w:hAnsi="华文仿宋" w:eastAsia="华文仿宋"/>
          <w:sz w:val="32"/>
          <w:szCs w:val="32"/>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0"/>
        <w:spacing w:beforeLines="0" w:afterLines="0"/>
        <w:ind w:firstLine="360"/>
        <w:rPr>
          <w:sz w:val="18"/>
          <w:szCs w:val="18"/>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2016年12月4日</w:t>
      </w:r>
      <w:r>
        <w:rPr>
          <w:sz w:val="18"/>
          <w:szCs w:val="18"/>
        </w:rPr>
        <w:t>。</w:t>
      </w:r>
    </w:p>
    <w:p>
      <w:pPr>
        <w:pStyle w:val="20"/>
        <w:spacing w:beforeLines="0" w:afterLines="0"/>
        <w:ind w:firstLine="360"/>
        <w:rPr>
          <w:sz w:val="18"/>
          <w:szCs w:val="18"/>
        </w:rPr>
      </w:pPr>
    </w:p>
    <w:p>
      <w:pPr>
        <w:pStyle w:val="20"/>
        <w:spacing w:beforeLines="0" w:afterLines="0"/>
        <w:ind w:firstLine="360"/>
        <w:rPr>
          <w:sz w:val="18"/>
          <w:szCs w:val="18"/>
        </w:rPr>
      </w:pPr>
    </w:p>
    <w:p>
      <w:pPr>
        <w:pStyle w:val="20"/>
        <w:spacing w:beforeLines="0" w:afterLines="0"/>
        <w:ind w:firstLine="360"/>
        <w:rPr>
          <w:sz w:val="18"/>
          <w:szCs w:val="18"/>
        </w:rPr>
      </w:pPr>
    </w:p>
    <w:p>
      <w:pPr>
        <w:pStyle w:val="20"/>
        <w:spacing w:beforeLines="0" w:afterLines="0"/>
        <w:ind w:firstLine="360"/>
        <w:rPr>
          <w:sz w:val="18"/>
          <w:szCs w:val="18"/>
        </w:rPr>
      </w:pPr>
    </w:p>
    <w:p>
      <w:pPr>
        <w:pStyle w:val="20"/>
        <w:spacing w:beforeLines="0" w:afterLines="0"/>
        <w:ind w:firstLine="360"/>
        <w:rPr>
          <w:sz w:val="18"/>
          <w:szCs w:val="18"/>
        </w:rPr>
      </w:pPr>
    </w:p>
    <w:p>
      <w:pPr>
        <w:numPr>
          <w:ilvl w:val="0"/>
          <w:numId w:val="4"/>
        </w:numPr>
        <w:ind w:firstLine="480" w:firstLineChars="150"/>
        <w:rPr>
          <w:rFonts w:hint="eastAsia" w:ascii="华文仿宋" w:hAnsi="华文仿宋" w:eastAsia="华文仿宋"/>
          <w:sz w:val="32"/>
          <w:szCs w:val="32"/>
        </w:rPr>
      </w:pPr>
      <w:r>
        <w:rPr>
          <w:rFonts w:hint="eastAsia" w:ascii="华文仿宋" w:hAnsi="华文仿宋" w:eastAsia="华文仿宋"/>
          <w:sz w:val="32"/>
          <w:szCs w:val="32"/>
        </w:rPr>
        <w:t>毕业生就业去向</w:t>
      </w:r>
    </w:p>
    <w:p>
      <w:pPr>
        <w:numPr>
          <w:ilvl w:val="0"/>
          <w:numId w:val="0"/>
        </w:numPr>
        <w:rPr>
          <w:rFonts w:hint="eastAsia" w:ascii="华文仿宋" w:hAnsi="华文仿宋" w:eastAsia="华文仿宋"/>
          <w:sz w:val="32"/>
          <w:szCs w:val="32"/>
        </w:rPr>
      </w:pPr>
    </w:p>
    <w:p>
      <w:pPr>
        <w:pStyle w:val="22"/>
        <w:spacing w:after="156"/>
        <w:ind w:left="0" w:leftChars="0" w:firstLine="0" w:firstLineChars="0"/>
        <w:jc w:val="left"/>
        <w:rPr>
          <w:rFonts w:hint="eastAsia" w:ascii="华文仿宋" w:hAnsi="华文仿宋" w:eastAsia="华文仿宋" w:cstheme="minorBidi"/>
          <w:kern w:val="2"/>
          <w:sz w:val="32"/>
          <w:szCs w:val="32"/>
          <w:lang w:val="en-US" w:eastAsia="zh-CN" w:bidi="ar-SA"/>
        </w:rPr>
      </w:pPr>
      <w:r>
        <w:rPr>
          <w:rFonts w:hint="eastAsia" w:ascii="华文仿宋" w:hAnsi="华文仿宋" w:eastAsia="华文仿宋" w:cstheme="minorBidi"/>
          <w:kern w:val="2"/>
          <w:sz w:val="32"/>
          <w:szCs w:val="32"/>
          <w:lang w:val="en-US" w:eastAsia="zh-CN" w:bidi="ar-SA"/>
        </w:rPr>
        <w:t>各系（部）毕业生就业率及毕业去向</w:t>
      </w:r>
    </w:p>
    <w:tbl>
      <w:tblPr>
        <w:tblStyle w:val="2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920"/>
        <w:gridCol w:w="992"/>
        <w:gridCol w:w="1134"/>
        <w:gridCol w:w="773"/>
        <w:gridCol w:w="864"/>
        <w:gridCol w:w="767"/>
        <w:gridCol w:w="86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34"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bCs/>
                <w:kern w:val="0"/>
                <w:szCs w:val="21"/>
              </w:rPr>
            </w:pPr>
            <w:r>
              <w:rPr>
                <w:rFonts w:hint="eastAsia" w:ascii="Times New Roman" w:hAnsi="Times New Roman" w:eastAsia="宋体" w:cs="Times New Roman"/>
                <w:b/>
                <w:kern w:val="0"/>
                <w:szCs w:val="21"/>
              </w:rPr>
              <w:t>系部</w:t>
            </w:r>
          </w:p>
        </w:tc>
        <w:tc>
          <w:tcPr>
            <w:tcW w:w="920"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ascii="Times New Roman" w:hAnsi="Times New Roman" w:eastAsia="宋体" w:cs="Times New Roman"/>
                <w:b/>
                <w:kern w:val="0"/>
                <w:szCs w:val="21"/>
              </w:rPr>
              <w:t>毕业生</w:t>
            </w:r>
          </w:p>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人数</w:t>
            </w:r>
          </w:p>
        </w:tc>
        <w:tc>
          <w:tcPr>
            <w:tcW w:w="2126"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就业</w:t>
            </w:r>
          </w:p>
        </w:tc>
        <w:tc>
          <w:tcPr>
            <w:tcW w:w="1637"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升学</w:t>
            </w:r>
          </w:p>
        </w:tc>
        <w:tc>
          <w:tcPr>
            <w:tcW w:w="1629"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未就业</w:t>
            </w:r>
          </w:p>
        </w:tc>
        <w:tc>
          <w:tcPr>
            <w:tcW w:w="901"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34"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p>
        </w:tc>
        <w:tc>
          <w:tcPr>
            <w:tcW w:w="920"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bCs/>
                <w:kern w:val="0"/>
                <w:szCs w:val="21"/>
              </w:rPr>
            </w:pPr>
          </w:p>
        </w:tc>
        <w:tc>
          <w:tcPr>
            <w:tcW w:w="992"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Cs w:val="21"/>
              </w:rPr>
            </w:pPr>
            <w:r>
              <w:rPr>
                <w:rFonts w:hint="eastAsia" w:ascii="Times New Roman" w:hAnsi="Times New Roman" w:eastAsia="宋体" w:cs="Times New Roman"/>
                <w:b/>
                <w:kern w:val="0"/>
                <w:szCs w:val="21"/>
              </w:rPr>
              <w:t>人数</w:t>
            </w:r>
          </w:p>
        </w:tc>
        <w:tc>
          <w:tcPr>
            <w:tcW w:w="1134"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比例</w:t>
            </w:r>
          </w:p>
        </w:tc>
        <w:tc>
          <w:tcPr>
            <w:tcW w:w="773"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Cs w:val="21"/>
              </w:rPr>
            </w:pPr>
            <w:r>
              <w:rPr>
                <w:rFonts w:hint="eastAsia" w:ascii="Times New Roman" w:hAnsi="Times New Roman" w:eastAsia="宋体" w:cs="Times New Roman"/>
                <w:b/>
                <w:kern w:val="0"/>
                <w:szCs w:val="21"/>
              </w:rPr>
              <w:t>人数</w:t>
            </w:r>
          </w:p>
        </w:tc>
        <w:tc>
          <w:tcPr>
            <w:tcW w:w="864"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比例</w:t>
            </w:r>
          </w:p>
        </w:tc>
        <w:tc>
          <w:tcPr>
            <w:tcW w:w="767"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Cs w:val="21"/>
              </w:rPr>
            </w:pPr>
            <w:r>
              <w:rPr>
                <w:rFonts w:hint="eastAsia" w:ascii="Times New Roman" w:hAnsi="Times New Roman" w:eastAsia="宋体" w:cs="Times New Roman"/>
                <w:b/>
                <w:kern w:val="0"/>
                <w:szCs w:val="21"/>
              </w:rPr>
              <w:t>人数</w:t>
            </w:r>
          </w:p>
        </w:tc>
        <w:tc>
          <w:tcPr>
            <w:tcW w:w="862"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比例</w:t>
            </w:r>
          </w:p>
        </w:tc>
        <w:tc>
          <w:tcPr>
            <w:tcW w:w="901"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经济管理系</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300</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267</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89.00</w:t>
            </w:r>
            <w:r>
              <w:rPr>
                <w:rFonts w:ascii="Times New Roman" w:hAnsi="Times New Roman" w:eastAsia="宋体" w:cs="Times New Roman"/>
                <w:kern w:val="0"/>
                <w:szCs w:val="21"/>
              </w:rPr>
              <w:t>%</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w:t>
            </w:r>
            <w:r>
              <w:rPr>
                <w:rFonts w:ascii="Times New Roman" w:hAnsi="Times New Roman" w:eastAsia="宋体" w:cs="Times New Roman"/>
                <w:kern w:val="0"/>
                <w:szCs w:val="21"/>
              </w:rPr>
              <w:t>%</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5.00</w:t>
            </w:r>
            <w:r>
              <w:rPr>
                <w:rFonts w:ascii="Times New Roman" w:hAnsi="Times New Roman" w:eastAsia="宋体" w:cs="Times New Roman"/>
                <w:kern w:val="0"/>
                <w:szCs w:val="21"/>
              </w:rPr>
              <w:t>%</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计算机系</w:t>
            </w:r>
          </w:p>
        </w:tc>
        <w:tc>
          <w:tcPr>
            <w:tcW w:w="920" w:type="dxa"/>
            <w:vAlign w:val="center"/>
          </w:tcPr>
          <w:p>
            <w:pPr>
              <w:adjustRightInd w:val="0"/>
              <w:snapToGrid w:val="0"/>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15</w:t>
            </w:r>
            <w:r>
              <w:rPr>
                <w:rFonts w:hint="eastAsia" w:ascii="Times New Roman" w:hAnsi="Times New Roman" w:eastAsia="宋体" w:cs="Times New Roman"/>
                <w:color w:val="auto"/>
                <w:kern w:val="0"/>
                <w:sz w:val="20"/>
                <w:szCs w:val="20"/>
                <w:lang w:val="en-US" w:eastAsia="zh-CN"/>
              </w:rPr>
              <w:t>6</w:t>
            </w:r>
          </w:p>
        </w:tc>
        <w:tc>
          <w:tcPr>
            <w:tcW w:w="992"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140</w:t>
            </w:r>
          </w:p>
        </w:tc>
        <w:tc>
          <w:tcPr>
            <w:tcW w:w="1134"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89.74</w:t>
            </w:r>
            <w:r>
              <w:rPr>
                <w:rFonts w:ascii="Times New Roman" w:hAnsi="Times New Roman" w:eastAsia="宋体" w:cs="Times New Roman"/>
                <w:color w:val="auto"/>
                <w:kern w:val="0"/>
                <w:szCs w:val="21"/>
              </w:rPr>
              <w:t>%</w:t>
            </w:r>
          </w:p>
        </w:tc>
        <w:tc>
          <w:tcPr>
            <w:tcW w:w="773"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14</w:t>
            </w:r>
          </w:p>
        </w:tc>
        <w:tc>
          <w:tcPr>
            <w:tcW w:w="864"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8.97</w:t>
            </w:r>
            <w:r>
              <w:rPr>
                <w:rFonts w:ascii="Times New Roman" w:hAnsi="Times New Roman" w:eastAsia="宋体" w:cs="Times New Roman"/>
                <w:color w:val="auto"/>
                <w:kern w:val="0"/>
                <w:szCs w:val="21"/>
              </w:rPr>
              <w:t>%</w:t>
            </w:r>
          </w:p>
        </w:tc>
        <w:tc>
          <w:tcPr>
            <w:tcW w:w="767"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2</w:t>
            </w:r>
          </w:p>
        </w:tc>
        <w:tc>
          <w:tcPr>
            <w:tcW w:w="862"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lang w:val="en-US" w:eastAsia="zh-CN"/>
              </w:rPr>
              <w:t>28</w:t>
            </w:r>
            <w:r>
              <w:rPr>
                <w:rFonts w:ascii="Times New Roman" w:hAnsi="Times New Roman" w:eastAsia="宋体" w:cs="Times New Roman"/>
                <w:color w:val="auto"/>
                <w:kern w:val="0"/>
                <w:szCs w:val="21"/>
              </w:rPr>
              <w:t>%</w:t>
            </w:r>
          </w:p>
        </w:tc>
        <w:tc>
          <w:tcPr>
            <w:tcW w:w="901" w:type="dxa"/>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98.7</w:t>
            </w:r>
            <w:r>
              <w:rPr>
                <w:rFonts w:hint="eastAsia" w:ascii="Times New Roman" w:hAnsi="Times New Roman" w:eastAsia="宋体" w:cs="Times New Roman"/>
                <w:color w:val="auto"/>
                <w:kern w:val="0"/>
                <w:szCs w:val="21"/>
                <w:lang w:val="en-US" w:eastAsia="zh-CN"/>
              </w:rPr>
              <w:t>2</w:t>
            </w:r>
            <w:r>
              <w:rPr>
                <w:rFonts w:hint="eastAsia" w:ascii="Times New Roman" w:hAnsi="Times New Roman" w:eastAsia="宋体"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电气工程系</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36</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97.22</w:t>
            </w:r>
            <w:r>
              <w:rPr>
                <w:rFonts w:ascii="Times New Roman" w:hAnsi="Times New Roman" w:eastAsia="宋体" w:cs="Times New Roman"/>
                <w:kern w:val="0"/>
                <w:szCs w:val="21"/>
              </w:rPr>
              <w:t>%</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2.78</w:t>
            </w:r>
            <w:r>
              <w:rPr>
                <w:rFonts w:ascii="Times New Roman" w:hAnsi="Times New Roman" w:eastAsia="宋体" w:cs="Times New Roman"/>
                <w:kern w:val="0"/>
                <w:szCs w:val="21"/>
              </w:rPr>
              <w:t>%</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社科部</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85.00</w:t>
            </w:r>
            <w:r>
              <w:rPr>
                <w:rFonts w:ascii="Times New Roman" w:hAnsi="Times New Roman" w:eastAsia="宋体" w:cs="Times New Roman"/>
                <w:kern w:val="0"/>
                <w:szCs w:val="21"/>
              </w:rPr>
              <w:t>%</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15.00</w:t>
            </w:r>
            <w:r>
              <w:rPr>
                <w:rFonts w:ascii="Times New Roman" w:hAnsi="Times New Roman" w:eastAsia="宋体" w:cs="Times New Roman"/>
                <w:kern w:val="0"/>
                <w:szCs w:val="21"/>
              </w:rPr>
              <w:t>%</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cs="Times New Roman" w:asciiTheme="minorEastAsia" w:hAnsiTheme="minorEastAsia"/>
                <w:color w:val="000000"/>
                <w:kern w:val="0"/>
                <w:sz w:val="20"/>
                <w:szCs w:val="20"/>
              </w:rPr>
              <w:t>地质测绘工程系</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168</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151</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89.88</w:t>
            </w:r>
            <w:r>
              <w:rPr>
                <w:rFonts w:ascii="Times New Roman" w:hAnsi="Times New Roman" w:eastAsia="宋体" w:cs="Times New Roman"/>
                <w:kern w:val="0"/>
                <w:szCs w:val="21"/>
              </w:rPr>
              <w:t>%</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9.52</w:t>
            </w:r>
            <w:r>
              <w:rPr>
                <w:rFonts w:ascii="Times New Roman" w:hAnsi="Times New Roman" w:eastAsia="宋体" w:cs="Times New Roman"/>
                <w:kern w:val="0"/>
                <w:szCs w:val="21"/>
              </w:rPr>
              <w:t>%</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0.60</w:t>
            </w:r>
            <w:r>
              <w:rPr>
                <w:rFonts w:ascii="Times New Roman" w:hAnsi="Times New Roman" w:eastAsia="宋体" w:cs="Times New Roman"/>
                <w:kern w:val="0"/>
                <w:szCs w:val="21"/>
              </w:rPr>
              <w:t>%</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矿业</w:t>
            </w:r>
            <w:r>
              <w:rPr>
                <w:rFonts w:ascii="Times New Roman" w:hAnsi="Times New Roman" w:eastAsia="宋体" w:cs="Times New Roman"/>
                <w:kern w:val="0"/>
                <w:szCs w:val="21"/>
              </w:rPr>
              <w:t>工程系</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288</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260</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90.28</w:t>
            </w:r>
            <w:r>
              <w:rPr>
                <w:rFonts w:ascii="Times New Roman" w:hAnsi="Times New Roman" w:eastAsia="宋体" w:cs="Times New Roman"/>
                <w:kern w:val="0"/>
                <w:szCs w:val="21"/>
              </w:rPr>
              <w:t>%</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8.33</w:t>
            </w:r>
            <w:r>
              <w:rPr>
                <w:rFonts w:ascii="Times New Roman" w:hAnsi="Times New Roman" w:eastAsia="宋体" w:cs="Times New Roman"/>
                <w:kern w:val="0"/>
                <w:szCs w:val="21"/>
              </w:rPr>
              <w:t>%</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1.39</w:t>
            </w:r>
            <w:r>
              <w:rPr>
                <w:rFonts w:ascii="Times New Roman" w:hAnsi="Times New Roman" w:eastAsia="宋体" w:cs="Times New Roman"/>
                <w:kern w:val="0"/>
                <w:szCs w:val="21"/>
              </w:rPr>
              <w:t>%</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安全工程系</w:t>
            </w:r>
          </w:p>
        </w:tc>
        <w:tc>
          <w:tcPr>
            <w:tcW w:w="920" w:type="dxa"/>
            <w:vAlign w:val="center"/>
          </w:tcPr>
          <w:p>
            <w:pPr>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54</w:t>
            </w:r>
          </w:p>
        </w:tc>
        <w:tc>
          <w:tcPr>
            <w:tcW w:w="99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w:t>
            </w:r>
          </w:p>
        </w:tc>
        <w:tc>
          <w:tcPr>
            <w:tcW w:w="113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79.63%</w:t>
            </w:r>
          </w:p>
        </w:tc>
        <w:tc>
          <w:tcPr>
            <w:tcW w:w="773"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864"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16.67%</w:t>
            </w:r>
          </w:p>
        </w:tc>
        <w:tc>
          <w:tcPr>
            <w:tcW w:w="76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862"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3.70%</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机电工程</w:t>
            </w:r>
            <w:r>
              <w:rPr>
                <w:rFonts w:hint="eastAsia" w:ascii="Times New Roman" w:hAnsi="Times New Roman" w:eastAsia="宋体" w:cs="Times New Roman"/>
                <w:b/>
                <w:kern w:val="0"/>
                <w:szCs w:val="21"/>
              </w:rPr>
              <w:t>系</w:t>
            </w:r>
          </w:p>
        </w:tc>
        <w:tc>
          <w:tcPr>
            <w:tcW w:w="920"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kern w:val="0"/>
                <w:sz w:val="20"/>
                <w:szCs w:val="20"/>
              </w:rPr>
              <w:t>133</w:t>
            </w:r>
          </w:p>
        </w:tc>
        <w:tc>
          <w:tcPr>
            <w:tcW w:w="992"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128</w:t>
            </w:r>
          </w:p>
        </w:tc>
        <w:tc>
          <w:tcPr>
            <w:tcW w:w="1134"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96.24%</w:t>
            </w:r>
          </w:p>
        </w:tc>
        <w:tc>
          <w:tcPr>
            <w:tcW w:w="773"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5</w:t>
            </w:r>
          </w:p>
        </w:tc>
        <w:tc>
          <w:tcPr>
            <w:tcW w:w="864"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3.76%</w:t>
            </w:r>
          </w:p>
        </w:tc>
        <w:tc>
          <w:tcPr>
            <w:tcW w:w="767"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0</w:t>
            </w:r>
          </w:p>
        </w:tc>
        <w:tc>
          <w:tcPr>
            <w:tcW w:w="862"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kern w:val="0"/>
                <w:szCs w:val="21"/>
              </w:rPr>
              <w:t>0</w:t>
            </w:r>
          </w:p>
        </w:tc>
        <w:tc>
          <w:tcPr>
            <w:tcW w:w="90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734"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总体</w:t>
            </w:r>
          </w:p>
        </w:tc>
        <w:tc>
          <w:tcPr>
            <w:tcW w:w="920"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1155</w:t>
            </w:r>
          </w:p>
        </w:tc>
        <w:tc>
          <w:tcPr>
            <w:tcW w:w="992"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1041</w:t>
            </w:r>
          </w:p>
        </w:tc>
        <w:tc>
          <w:tcPr>
            <w:tcW w:w="1134"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90.13</w:t>
            </w:r>
            <w:r>
              <w:rPr>
                <w:rFonts w:ascii="Times New Roman" w:hAnsi="Times New Roman" w:eastAsia="宋体" w:cs="Times New Roman"/>
                <w:b/>
                <w:kern w:val="0"/>
                <w:szCs w:val="21"/>
              </w:rPr>
              <w:t>%</w:t>
            </w:r>
          </w:p>
        </w:tc>
        <w:tc>
          <w:tcPr>
            <w:tcW w:w="773"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90</w:t>
            </w:r>
          </w:p>
        </w:tc>
        <w:tc>
          <w:tcPr>
            <w:tcW w:w="864"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7.79%</w:t>
            </w:r>
          </w:p>
        </w:tc>
        <w:tc>
          <w:tcPr>
            <w:tcW w:w="767"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24</w:t>
            </w:r>
          </w:p>
        </w:tc>
        <w:tc>
          <w:tcPr>
            <w:tcW w:w="862"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2.08%</w:t>
            </w:r>
          </w:p>
        </w:tc>
        <w:tc>
          <w:tcPr>
            <w:tcW w:w="901"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97.92%</w:t>
            </w:r>
          </w:p>
        </w:tc>
      </w:tr>
    </w:tbl>
    <w:p>
      <w:pPr>
        <w:pStyle w:val="20"/>
        <w:spacing w:beforeLines="0" w:afterLines="0"/>
        <w:ind w:firstLine="360"/>
        <w:rPr>
          <w:sz w:val="18"/>
          <w:szCs w:val="18"/>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2016年12月4日</w:t>
      </w:r>
      <w:r>
        <w:rPr>
          <w:sz w:val="18"/>
          <w:szCs w:val="18"/>
        </w:rPr>
        <w:t>。</w:t>
      </w: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30"/>
        <w:spacing w:after="156"/>
        <w:rPr>
          <w:rFonts w:ascii="华文仿宋" w:hAnsi="华文仿宋" w:eastAsia="华文仿宋" w:cstheme="minorBidi"/>
          <w:b w:val="0"/>
        </w:rPr>
      </w:pPr>
    </w:p>
    <w:p>
      <w:pPr>
        <w:pStyle w:val="22"/>
        <w:spacing w:after="156"/>
        <w:ind w:left="0" w:leftChars="0" w:firstLine="0" w:firstLineChars="0"/>
        <w:jc w:val="left"/>
        <w:rPr>
          <w:rFonts w:hint="eastAsia" w:ascii="华文仿宋" w:hAnsi="华文仿宋" w:eastAsia="华文仿宋" w:cstheme="minorBidi"/>
          <w:kern w:val="2"/>
          <w:sz w:val="32"/>
          <w:szCs w:val="32"/>
          <w:lang w:val="en-US" w:eastAsia="zh-CN" w:bidi="ar-SA"/>
        </w:rPr>
      </w:pPr>
      <w:r>
        <w:rPr>
          <w:rFonts w:hint="eastAsia" w:ascii="华文仿宋" w:hAnsi="华文仿宋" w:eastAsia="华文仿宋" w:cstheme="minorBidi"/>
          <w:kern w:val="2"/>
          <w:sz w:val="32"/>
          <w:szCs w:val="32"/>
          <w:lang w:val="en-US" w:eastAsia="zh-CN" w:bidi="ar-SA"/>
        </w:rPr>
        <w:t xml:space="preserve"> 各专业就业率及毕业去向</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709"/>
        <w:gridCol w:w="1134"/>
        <w:gridCol w:w="567"/>
        <w:gridCol w:w="971"/>
        <w:gridCol w:w="588"/>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专业</w:t>
            </w:r>
          </w:p>
        </w:tc>
        <w:tc>
          <w:tcPr>
            <w:tcW w:w="708"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专业人数</w:t>
            </w:r>
          </w:p>
          <w:p>
            <w:pPr>
              <w:adjustRightInd w:val="0"/>
              <w:snapToGrid w:val="0"/>
              <w:jc w:val="center"/>
              <w:rPr>
                <w:rFonts w:ascii="Times New Roman" w:hAnsi="Times New Roman" w:eastAsia="宋体" w:cs="Times New Roman"/>
                <w:b/>
                <w:kern w:val="0"/>
                <w:sz w:val="24"/>
                <w:szCs w:val="21"/>
              </w:rPr>
            </w:pPr>
          </w:p>
        </w:tc>
        <w:tc>
          <w:tcPr>
            <w:tcW w:w="1843"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就业</w:t>
            </w:r>
          </w:p>
        </w:tc>
        <w:tc>
          <w:tcPr>
            <w:tcW w:w="1538"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升学</w:t>
            </w:r>
          </w:p>
        </w:tc>
        <w:tc>
          <w:tcPr>
            <w:tcW w:w="1864" w:type="dxa"/>
            <w:gridSpan w:val="2"/>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未就业</w:t>
            </w:r>
          </w:p>
        </w:tc>
        <w:tc>
          <w:tcPr>
            <w:tcW w:w="992" w:type="dxa"/>
            <w:vMerge w:val="restart"/>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p>
        </w:tc>
        <w:tc>
          <w:tcPr>
            <w:tcW w:w="708"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bCs/>
                <w:kern w:val="0"/>
                <w:sz w:val="24"/>
                <w:szCs w:val="21"/>
              </w:rPr>
            </w:pPr>
          </w:p>
        </w:tc>
        <w:tc>
          <w:tcPr>
            <w:tcW w:w="709"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 w:val="24"/>
                <w:szCs w:val="21"/>
              </w:rPr>
            </w:pPr>
            <w:r>
              <w:rPr>
                <w:rFonts w:hint="eastAsia" w:ascii="Times New Roman" w:hAnsi="Times New Roman" w:eastAsia="宋体" w:cs="Times New Roman"/>
                <w:b/>
                <w:kern w:val="0"/>
                <w:sz w:val="24"/>
                <w:szCs w:val="21"/>
              </w:rPr>
              <w:t>人数</w:t>
            </w:r>
          </w:p>
        </w:tc>
        <w:tc>
          <w:tcPr>
            <w:tcW w:w="1134"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比例</w:t>
            </w:r>
          </w:p>
        </w:tc>
        <w:tc>
          <w:tcPr>
            <w:tcW w:w="567"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 w:val="24"/>
                <w:szCs w:val="21"/>
              </w:rPr>
            </w:pPr>
            <w:r>
              <w:rPr>
                <w:rFonts w:hint="eastAsia" w:ascii="Times New Roman" w:hAnsi="Times New Roman" w:eastAsia="宋体" w:cs="Times New Roman"/>
                <w:b/>
                <w:kern w:val="0"/>
                <w:sz w:val="24"/>
                <w:szCs w:val="21"/>
              </w:rPr>
              <w:t>人数</w:t>
            </w:r>
          </w:p>
        </w:tc>
        <w:tc>
          <w:tcPr>
            <w:tcW w:w="971"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比例</w:t>
            </w:r>
          </w:p>
        </w:tc>
        <w:tc>
          <w:tcPr>
            <w:tcW w:w="588" w:type="dxa"/>
            <w:shd w:val="clear" w:color="auto" w:fill="95B3D7" w:themeFill="accent1" w:themeFillTint="99"/>
            <w:vAlign w:val="center"/>
          </w:tcPr>
          <w:p>
            <w:pPr>
              <w:adjustRightInd w:val="0"/>
              <w:snapToGrid w:val="0"/>
              <w:jc w:val="center"/>
              <w:rPr>
                <w:rFonts w:ascii="Times New Roman" w:hAnsi="Times New Roman" w:eastAsia="宋体" w:cs="Times New Roman"/>
                <w:b/>
                <w:bCs/>
                <w:kern w:val="0"/>
                <w:sz w:val="24"/>
                <w:szCs w:val="21"/>
              </w:rPr>
            </w:pPr>
            <w:r>
              <w:rPr>
                <w:rFonts w:hint="eastAsia" w:ascii="Times New Roman" w:hAnsi="Times New Roman" w:eastAsia="宋体" w:cs="Times New Roman"/>
                <w:b/>
                <w:kern w:val="0"/>
                <w:sz w:val="24"/>
                <w:szCs w:val="21"/>
              </w:rPr>
              <w:t>人数</w:t>
            </w:r>
          </w:p>
        </w:tc>
        <w:tc>
          <w:tcPr>
            <w:tcW w:w="1276" w:type="dxa"/>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比例</w:t>
            </w:r>
          </w:p>
        </w:tc>
        <w:tc>
          <w:tcPr>
            <w:tcW w:w="992" w:type="dxa"/>
            <w:vMerge w:val="continue"/>
            <w:shd w:val="clear" w:color="auto" w:fill="95B3D7" w:themeFill="accent1" w:themeFillTint="99"/>
            <w:vAlign w:val="center"/>
          </w:tcPr>
          <w:p>
            <w:pPr>
              <w:adjustRightInd w:val="0"/>
              <w:snapToGrid w:val="0"/>
              <w:jc w:val="center"/>
              <w:rPr>
                <w:rFonts w:ascii="Times New Roman" w:hAnsi="Times New Roman" w:eastAsia="宋体" w:cs="Times New Roman"/>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工商企业管理</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59</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53</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89.83</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10.17</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市场营销</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67</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57</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85.07</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1.49</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13.43</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86.57</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会计电算化</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174</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157</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90.23</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11</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6.32</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3.45</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96.55</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计算机应用技术</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43</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36</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83.72</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16.28</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计算机信息管理</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56</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48</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83.93</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12.50</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1</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1.79</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98.22</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广告设计与制作</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57</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56</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98.25</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971"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1.75</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98.25</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应用电子技术</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36</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35</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97.22</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2.78</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酒店管理</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17</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85.00%</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15.00%</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矿井通风与安全</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54</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43</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79.63%</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16.67%</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3.70%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建筑工程技术</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56</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54</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96.43</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3.57</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0.00</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煤炭深加工与利用</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101</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95.05%</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4.95%</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0.00</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建筑工程管理</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36</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33</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91.67%</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2.78%</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5.56%</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煤矿开采技术</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58</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41</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70.69</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15</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25.86%</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3.45%</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矿井建设</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37</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36</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97.30</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2.7</w:t>
            </w:r>
            <w:r>
              <w:rPr>
                <w:rFonts w:ascii="Times New Roman" w:hAnsi="Times New Roman" w:eastAsia="宋体" w:cs="Times New Roman"/>
                <w:kern w:val="0"/>
                <w:sz w:val="24"/>
                <w:szCs w:val="21"/>
              </w:rPr>
              <w:t>0%</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矿山机电</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96</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971"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机械设计与制造</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37</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32</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86.49%</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13.51%</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矿山测量</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71</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61</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85.92</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12.68</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1</w:t>
            </w:r>
          </w:p>
        </w:tc>
        <w:tc>
          <w:tcPr>
            <w:tcW w:w="1276"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1.40</w:t>
            </w:r>
            <w:r>
              <w:rPr>
                <w:rFonts w:ascii="Times New Roman" w:hAnsi="Times New Roman" w:eastAsia="宋体" w:cs="Times New Roman"/>
                <w:kern w:val="0"/>
                <w:sz w:val="24"/>
                <w:szCs w:val="21"/>
              </w:rPr>
              <w:t>%</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98.60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工程地质勘查</w:t>
            </w:r>
          </w:p>
        </w:tc>
        <w:tc>
          <w:tcPr>
            <w:tcW w:w="70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97</w:t>
            </w:r>
          </w:p>
        </w:tc>
        <w:tc>
          <w:tcPr>
            <w:tcW w:w="709"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90</w:t>
            </w:r>
          </w:p>
        </w:tc>
        <w:tc>
          <w:tcPr>
            <w:tcW w:w="1134"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92.78</w:t>
            </w:r>
            <w:r>
              <w:rPr>
                <w:rFonts w:ascii="Times New Roman" w:hAnsi="Times New Roman" w:eastAsia="宋体" w:cs="Times New Roman"/>
                <w:kern w:val="0"/>
                <w:sz w:val="24"/>
                <w:szCs w:val="21"/>
              </w:rPr>
              <w:t>%</w:t>
            </w:r>
          </w:p>
        </w:tc>
        <w:tc>
          <w:tcPr>
            <w:tcW w:w="567"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971"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7.22</w:t>
            </w:r>
            <w:r>
              <w:rPr>
                <w:rFonts w:ascii="Times New Roman" w:hAnsi="Times New Roman" w:eastAsia="宋体" w:cs="Times New Roman"/>
                <w:kern w:val="0"/>
                <w:sz w:val="24"/>
                <w:szCs w:val="21"/>
              </w:rPr>
              <w:t>%</w:t>
            </w:r>
          </w:p>
        </w:tc>
        <w:tc>
          <w:tcPr>
            <w:tcW w:w="588"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0</w:t>
            </w:r>
          </w:p>
        </w:tc>
        <w:tc>
          <w:tcPr>
            <w:tcW w:w="1276" w:type="dxa"/>
            <w:vAlign w:val="center"/>
          </w:tcPr>
          <w:p>
            <w:pPr>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0.00%</w:t>
            </w:r>
          </w:p>
        </w:tc>
        <w:tc>
          <w:tcPr>
            <w:tcW w:w="992" w:type="dxa"/>
            <w:vAlign w:val="center"/>
          </w:tcPr>
          <w:p>
            <w:pPr>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100.0</w:t>
            </w:r>
            <w:r>
              <w:rPr>
                <w:rFonts w:ascii="Times New Roman" w:hAnsi="Times New Roman"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235" w:type="dxa"/>
            <w:vAlign w:val="center"/>
          </w:tcPr>
          <w:p>
            <w:pPr>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总体</w:t>
            </w:r>
          </w:p>
        </w:tc>
        <w:tc>
          <w:tcPr>
            <w:tcW w:w="708"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1155</w:t>
            </w:r>
          </w:p>
        </w:tc>
        <w:tc>
          <w:tcPr>
            <w:tcW w:w="709"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1041</w:t>
            </w:r>
          </w:p>
        </w:tc>
        <w:tc>
          <w:tcPr>
            <w:tcW w:w="1134"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90.13</w:t>
            </w:r>
            <w:r>
              <w:rPr>
                <w:rFonts w:ascii="Times New Roman" w:hAnsi="Times New Roman" w:eastAsia="宋体" w:cs="Times New Roman"/>
                <w:b/>
                <w:kern w:val="0"/>
                <w:sz w:val="24"/>
                <w:szCs w:val="21"/>
              </w:rPr>
              <w:t>%</w:t>
            </w:r>
          </w:p>
        </w:tc>
        <w:tc>
          <w:tcPr>
            <w:tcW w:w="567"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90</w:t>
            </w:r>
          </w:p>
        </w:tc>
        <w:tc>
          <w:tcPr>
            <w:tcW w:w="971"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7.79</w:t>
            </w:r>
            <w:r>
              <w:rPr>
                <w:rFonts w:ascii="Times New Roman" w:hAnsi="Times New Roman" w:eastAsia="宋体" w:cs="Times New Roman"/>
                <w:b/>
                <w:kern w:val="0"/>
                <w:sz w:val="24"/>
                <w:szCs w:val="21"/>
              </w:rPr>
              <w:t>%</w:t>
            </w:r>
          </w:p>
        </w:tc>
        <w:tc>
          <w:tcPr>
            <w:tcW w:w="588"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24</w:t>
            </w:r>
          </w:p>
        </w:tc>
        <w:tc>
          <w:tcPr>
            <w:tcW w:w="1276" w:type="dxa"/>
            <w:vAlign w:val="center"/>
          </w:tcPr>
          <w:p>
            <w:pPr>
              <w:adjustRightInd w:val="0"/>
              <w:snapToGrid w:val="0"/>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2.08</w:t>
            </w:r>
            <w:r>
              <w:rPr>
                <w:rFonts w:ascii="Times New Roman" w:hAnsi="Times New Roman" w:eastAsia="宋体" w:cs="Times New Roman"/>
                <w:b/>
                <w:kern w:val="0"/>
                <w:sz w:val="24"/>
                <w:szCs w:val="21"/>
              </w:rPr>
              <w:t>%</w:t>
            </w:r>
          </w:p>
        </w:tc>
        <w:tc>
          <w:tcPr>
            <w:tcW w:w="992" w:type="dxa"/>
            <w:vAlign w:val="center"/>
          </w:tcPr>
          <w:p>
            <w:pPr>
              <w:adjustRightInd w:val="0"/>
              <w:snapToGrid w:val="0"/>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97.92%</w:t>
            </w:r>
          </w:p>
        </w:tc>
      </w:tr>
    </w:tbl>
    <w:p>
      <w:pPr>
        <w:pStyle w:val="20"/>
        <w:spacing w:beforeLines="0" w:afterLines="0"/>
        <w:ind w:firstLineChars="0"/>
        <w:rPr>
          <w:rFonts w:ascii="华文仿宋" w:hAnsi="华文仿宋" w:eastAsia="华文仿宋" w:cstheme="minorBidi"/>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2016年12月4日</w:t>
      </w:r>
      <w:r>
        <w:rPr>
          <w:sz w:val="18"/>
          <w:szCs w:val="18"/>
        </w:rPr>
        <w:t>。</w:t>
      </w:r>
    </w:p>
    <w:p>
      <w:pPr>
        <w:pStyle w:val="30"/>
        <w:spacing w:after="156"/>
        <w:rPr>
          <w:rFonts w:ascii="华文仿宋" w:hAnsi="华文仿宋" w:eastAsia="华文仿宋" w:cstheme="minorBidi"/>
          <w:b w:val="0"/>
        </w:rPr>
      </w:pPr>
      <w:bookmarkStart w:id="0" w:name="_GoBack"/>
      <w:bookmarkEnd w:id="0"/>
    </w:p>
    <w:p>
      <w:pPr>
        <w:pStyle w:val="22"/>
        <w:spacing w:after="156"/>
        <w:ind w:left="0" w:leftChars="0" w:firstLine="0" w:firstLineChars="0"/>
        <w:jc w:val="left"/>
        <w:rPr>
          <w:rFonts w:hint="eastAsia" w:ascii="华文仿宋" w:hAnsi="华文仿宋" w:eastAsia="华文仿宋" w:cstheme="minorBidi"/>
          <w:kern w:val="2"/>
          <w:sz w:val="32"/>
          <w:szCs w:val="32"/>
          <w:lang w:val="en-US" w:eastAsia="zh-CN" w:bidi="ar-SA"/>
        </w:rPr>
      </w:pPr>
      <w:r>
        <w:rPr>
          <w:rFonts w:hint="eastAsia" w:ascii="华文仿宋" w:hAnsi="华文仿宋" w:eastAsia="华文仿宋" w:cstheme="minorBidi"/>
          <w:kern w:val="2"/>
          <w:sz w:val="32"/>
          <w:szCs w:val="32"/>
          <w:lang w:val="en-US" w:eastAsia="zh-CN" w:bidi="ar-SA"/>
        </w:rPr>
        <w:t>各专业就业情况构成图</w:t>
      </w:r>
    </w:p>
    <w:p>
      <w:pPr>
        <w:rPr>
          <w:rFonts w:ascii="华文仿宋" w:hAnsi="华文仿宋" w:eastAsia="华文仿宋"/>
          <w:sz w:val="32"/>
          <w:szCs w:val="32"/>
        </w:rPr>
      </w:pPr>
      <w:r>
        <w:rPr>
          <w:rFonts w:ascii="华文仿宋" w:hAnsi="华文仿宋" w:eastAsia="华文仿宋"/>
          <w:sz w:val="32"/>
          <w:szCs w:val="32"/>
        </w:rPr>
        <w:drawing>
          <wp:inline distT="0" distB="0" distL="0" distR="0">
            <wp:extent cx="5381625" cy="34004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ascii="华文仿宋" w:hAnsi="华文仿宋" w:eastAsia="华文仿宋"/>
          <w:sz w:val="32"/>
          <w:szCs w:val="32"/>
        </w:rPr>
      </w:pPr>
    </w:p>
    <w:p>
      <w:pPr>
        <w:rPr>
          <w:rFonts w:ascii="华文仿宋" w:hAnsi="华文仿宋" w:eastAsia="华文仿宋"/>
          <w:sz w:val="32"/>
          <w:szCs w:val="32"/>
        </w:rPr>
      </w:pPr>
    </w:p>
    <w:p>
      <w:pPr>
        <w:pStyle w:val="19"/>
        <w:numPr>
          <w:ilvl w:val="0"/>
          <w:numId w:val="1"/>
        </w:numPr>
        <w:ind w:firstLineChars="0"/>
        <w:rPr>
          <w:rFonts w:ascii="黑体" w:hAnsi="黑体" w:eastAsia="黑体"/>
          <w:sz w:val="36"/>
          <w:szCs w:val="36"/>
        </w:rPr>
      </w:pPr>
      <w:r>
        <w:rPr>
          <w:rFonts w:hint="eastAsia" w:ascii="黑体" w:hAnsi="黑体" w:eastAsia="黑体"/>
          <w:sz w:val="36"/>
          <w:szCs w:val="36"/>
        </w:rPr>
        <w:t>毕业生就业工作主要做法及成效</w:t>
      </w:r>
    </w:p>
    <w:p>
      <w:pPr>
        <w:numPr>
          <w:ilvl w:val="0"/>
          <w:numId w:val="5"/>
        </w:numPr>
        <w:rPr>
          <w:rFonts w:hint="eastAsia"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lang w:eastAsia="zh-CN"/>
        </w:rPr>
        <w:t>学院</w:t>
      </w:r>
      <w:r>
        <w:rPr>
          <w:rFonts w:hint="eastAsia" w:ascii="华文仿宋" w:hAnsi="华文仿宋" w:eastAsia="华文仿宋"/>
          <w:color w:val="000000" w:themeColor="text1"/>
          <w:sz w:val="32"/>
          <w:szCs w:val="32"/>
        </w:rPr>
        <w:t>领导重视，</w:t>
      </w:r>
      <w:r>
        <w:rPr>
          <w:rFonts w:hint="eastAsia" w:ascii="华文仿宋" w:hAnsi="华文仿宋" w:eastAsia="华文仿宋"/>
          <w:color w:val="000000" w:themeColor="text1"/>
          <w:sz w:val="32"/>
          <w:szCs w:val="32"/>
          <w:lang w:eastAsia="zh-CN"/>
        </w:rPr>
        <w:t>构建就业工作新格局</w:t>
      </w:r>
    </w:p>
    <w:p>
      <w:pPr>
        <w:numPr>
          <w:ilvl w:val="0"/>
          <w:numId w:val="0"/>
        </w:numPr>
        <w:ind w:firstLine="640"/>
        <w:rPr>
          <w:rFonts w:hint="eastAsia" w:ascii="华文仿宋" w:hAnsi="华文仿宋" w:eastAsia="华文仿宋"/>
          <w:sz w:val="32"/>
          <w:szCs w:val="32"/>
        </w:rPr>
      </w:pPr>
      <w:r>
        <w:rPr>
          <w:rFonts w:hint="eastAsia" w:ascii="华文仿宋" w:hAnsi="华文仿宋" w:eastAsia="华文仿宋"/>
          <w:color w:val="000000" w:themeColor="text1"/>
          <w:sz w:val="32"/>
          <w:szCs w:val="32"/>
          <w:lang w:val="en-US" w:eastAsia="zh-CN"/>
        </w:rPr>
        <w:t>2016年，在学院领导高度重视下，构建“学院统筹、部门协调、系部负责、全员参与”的毕业生就业工作格局，各系（部）在学院就业创业工作中逐步发挥主体作用。</w:t>
      </w:r>
      <w:r>
        <w:rPr>
          <w:rFonts w:hint="eastAsia" w:ascii="华文仿宋" w:hAnsi="华文仿宋" w:eastAsia="华文仿宋"/>
          <w:color w:val="000000" w:themeColor="text1"/>
          <w:sz w:val="32"/>
          <w:szCs w:val="32"/>
        </w:rPr>
        <w:t>学</w:t>
      </w:r>
      <w:r>
        <w:rPr>
          <w:rFonts w:hint="eastAsia" w:ascii="华文仿宋" w:hAnsi="华文仿宋" w:eastAsia="华文仿宋"/>
          <w:color w:val="000000" w:themeColor="text1"/>
          <w:sz w:val="32"/>
          <w:szCs w:val="32"/>
          <w:lang w:eastAsia="zh-CN"/>
        </w:rPr>
        <w:t>院</w:t>
      </w:r>
      <w:r>
        <w:rPr>
          <w:rFonts w:hint="eastAsia" w:ascii="华文仿宋" w:hAnsi="华文仿宋" w:eastAsia="华文仿宋"/>
          <w:color w:val="000000" w:themeColor="text1"/>
          <w:sz w:val="32"/>
          <w:szCs w:val="32"/>
        </w:rPr>
        <w:t>坚持以“就业为导向”的培养目标。根据就业政策研究制定出符合我院实际的毕业生就业工作意见，并积极抓好贯彻和落实。学院党政领导多次抽出时间专门听取毕业生就业工作进</w:t>
      </w:r>
      <w:r>
        <w:rPr>
          <w:rFonts w:hint="eastAsia" w:ascii="华文仿宋" w:hAnsi="华文仿宋" w:eastAsia="华文仿宋"/>
          <w:sz w:val="32"/>
          <w:szCs w:val="32"/>
        </w:rPr>
        <w:t>展情况的汇报，并做出具体的批示。分管院</w:t>
      </w:r>
      <w:r>
        <w:rPr>
          <w:rFonts w:hint="eastAsia" w:ascii="华文仿宋" w:hAnsi="华文仿宋" w:eastAsia="华文仿宋"/>
          <w:sz w:val="32"/>
          <w:szCs w:val="32"/>
          <w:lang w:eastAsia="zh-CN"/>
        </w:rPr>
        <w:t>领导</w:t>
      </w:r>
      <w:r>
        <w:rPr>
          <w:rFonts w:hint="eastAsia" w:ascii="华文仿宋" w:hAnsi="华文仿宋" w:eastAsia="华文仿宋"/>
          <w:sz w:val="32"/>
          <w:szCs w:val="32"/>
        </w:rPr>
        <w:t>、</w:t>
      </w:r>
      <w:r>
        <w:rPr>
          <w:rFonts w:hint="eastAsia" w:ascii="华文仿宋" w:hAnsi="华文仿宋" w:eastAsia="华文仿宋"/>
          <w:sz w:val="32"/>
          <w:szCs w:val="32"/>
          <w:lang w:eastAsia="zh-CN"/>
        </w:rPr>
        <w:t>各系部领导</w:t>
      </w:r>
      <w:r>
        <w:rPr>
          <w:rFonts w:hint="eastAsia" w:ascii="华文仿宋" w:hAnsi="华文仿宋" w:eastAsia="华文仿宋"/>
          <w:sz w:val="32"/>
          <w:szCs w:val="32"/>
        </w:rPr>
        <w:t>、</w:t>
      </w:r>
      <w:r>
        <w:rPr>
          <w:rFonts w:hint="eastAsia" w:ascii="华文仿宋" w:hAnsi="华文仿宋" w:eastAsia="华文仿宋"/>
          <w:sz w:val="32"/>
          <w:szCs w:val="32"/>
          <w:lang w:eastAsia="zh-CN"/>
        </w:rPr>
        <w:t>班主任</w:t>
      </w:r>
      <w:r>
        <w:rPr>
          <w:rFonts w:hint="eastAsia" w:ascii="华文仿宋" w:hAnsi="华文仿宋" w:eastAsia="华文仿宋"/>
          <w:sz w:val="32"/>
          <w:szCs w:val="32"/>
        </w:rPr>
        <w:t>根据不同时期学生的就业情况及思想变化，组织召开就业工作推进会议</w:t>
      </w:r>
      <w:r>
        <w:rPr>
          <w:rFonts w:hint="eastAsia" w:ascii="华文仿宋" w:hAnsi="华文仿宋" w:eastAsia="华文仿宋"/>
          <w:sz w:val="32"/>
          <w:szCs w:val="32"/>
          <w:lang w:val="en-US" w:eastAsia="zh-CN"/>
        </w:rPr>
        <w:t>和毕业生</w:t>
      </w:r>
      <w:r>
        <w:rPr>
          <w:rFonts w:hint="eastAsia" w:ascii="华文仿宋" w:hAnsi="华文仿宋" w:eastAsia="华文仿宋"/>
          <w:sz w:val="32"/>
          <w:szCs w:val="32"/>
        </w:rPr>
        <w:t>就业动员会。</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2016年3月11日</w:t>
      </w:r>
      <w:r>
        <w:rPr>
          <w:rFonts w:hint="eastAsia" w:ascii="华文仿宋" w:hAnsi="华文仿宋" w:eastAsia="华文仿宋"/>
          <w:sz w:val="32"/>
          <w:szCs w:val="32"/>
          <w:lang w:val="en-US" w:eastAsia="zh-CN"/>
        </w:rPr>
        <w:t>召开的学院</w:t>
      </w:r>
      <w:r>
        <w:rPr>
          <w:rFonts w:hint="eastAsia" w:ascii="华文仿宋" w:hAnsi="华文仿宋" w:eastAsia="华文仿宋"/>
          <w:sz w:val="32"/>
          <w:szCs w:val="32"/>
        </w:rPr>
        <w:t>学生就业创业工作会议提出2016年就业创业工作的目标任务是深入学习贯彻党的十八大和十八届四中、五中全会精神，按照省委、省政府和教育部的要求，进一步落实学院党委会提出的工作目标和任务，以服务山西经济社会发展为主线，进一步完善毕业生就业创业指导服务体系，推进创新创业教育和自主创业工作，努力拓宽毕业生就业创业渠道，大力引导毕业生到基层就业，确保就业率稳中有升，就业质量不断提高。2016年就业创业工作措施从日常管理、就业创业技能培训、就业信息发布、特殊群体关注等各方面努力提升毕业生就业质量，工作中突出强化系部的主体作用，持续推动我院就业创业工作取得新突破。李桂平副院长在总结讲话中要求大力推进创新创业教育和自主创业工作。各部门要把开展创新创业教育作为教育改革、提高教学质量的重要内容，加快普及创业教育，优化创业环境，加大支持力度，努力增强学生创业意识、创业能力和创业成功率。</w:t>
      </w:r>
    </w:p>
    <w:p>
      <w:pPr>
        <w:rPr>
          <w:rFonts w:ascii="华文仿宋" w:hAnsi="华文仿宋" w:eastAsia="华文仿宋"/>
          <w:color w:val="000000" w:themeColor="text1"/>
          <w:sz w:val="32"/>
          <w:szCs w:val="32"/>
        </w:rPr>
      </w:pPr>
      <w:r>
        <w:rPr>
          <w:rFonts w:hint="eastAsia" w:ascii="华文仿宋" w:hAnsi="华文仿宋" w:eastAsia="华文仿宋"/>
          <w:sz w:val="32"/>
          <w:szCs w:val="32"/>
        </w:rPr>
        <w:t>（二）</w:t>
      </w:r>
      <w:r>
        <w:rPr>
          <w:rFonts w:hint="eastAsia" w:ascii="华文仿宋" w:hAnsi="华文仿宋" w:eastAsia="华文仿宋"/>
          <w:color w:val="000000" w:themeColor="text1"/>
          <w:sz w:val="32"/>
          <w:szCs w:val="32"/>
          <w:lang w:eastAsia="zh-CN"/>
        </w:rPr>
        <w:t>积极拓宽基层和重点领域就业渠道</w:t>
      </w:r>
    </w:p>
    <w:p>
      <w:pPr>
        <w:ind w:firstLine="640" w:firstLineChars="200"/>
        <w:rPr>
          <w:rFonts w:ascii="华文仿宋" w:hAnsi="华文仿宋" w:eastAsia="华文仿宋"/>
          <w:color w:val="auto"/>
          <w:sz w:val="32"/>
          <w:szCs w:val="32"/>
        </w:rPr>
      </w:pPr>
      <w:r>
        <w:rPr>
          <w:rFonts w:hint="eastAsia" w:ascii="华文仿宋" w:hAnsi="华文仿宋" w:eastAsia="华文仿宋"/>
          <w:color w:val="000000" w:themeColor="text1"/>
          <w:sz w:val="32"/>
          <w:szCs w:val="32"/>
        </w:rPr>
        <w:t>毕业生就业工作已经面向市场，面向社会，实行双向选择，因此，我们在分管院长领导下，更进一步的加强了与用人单位的交流，掌握足够的信息，以有利于毕业生就业率的不断提高。到目前我院已与省内外600余家用人单位建立长期的用人关系。同时不断拓宽就业渠道，为毕业生到基层</w:t>
      </w:r>
      <w:r>
        <w:rPr>
          <w:rFonts w:hint="eastAsia" w:ascii="华文仿宋" w:hAnsi="华文仿宋" w:eastAsia="华文仿宋"/>
          <w:color w:val="000000" w:themeColor="text1"/>
          <w:sz w:val="32"/>
          <w:szCs w:val="32"/>
          <w:lang w:eastAsia="zh-CN"/>
        </w:rPr>
        <w:t>、城乡、中小型企业</w:t>
      </w:r>
      <w:r>
        <w:rPr>
          <w:rFonts w:hint="eastAsia" w:ascii="华文仿宋" w:hAnsi="华文仿宋" w:eastAsia="华文仿宋"/>
          <w:color w:val="000000" w:themeColor="text1"/>
          <w:sz w:val="32"/>
          <w:szCs w:val="32"/>
        </w:rPr>
        <w:t>就业创造条件。组织</w:t>
      </w:r>
      <w:r>
        <w:rPr>
          <w:rFonts w:hint="eastAsia" w:ascii="华文仿宋" w:hAnsi="华文仿宋" w:eastAsia="华文仿宋"/>
          <w:sz w:val="32"/>
          <w:szCs w:val="32"/>
        </w:rPr>
        <w:t>就业工作人员积极走访市场，广泛建立用人关系，不断拓宽就业渠道，采取“请进来，走出去”的方法，组织开展了一系列</w:t>
      </w:r>
      <w:r>
        <w:rPr>
          <w:rFonts w:hint="eastAsia" w:ascii="华文仿宋" w:hAnsi="华文仿宋" w:eastAsia="华文仿宋"/>
          <w:sz w:val="32"/>
          <w:szCs w:val="32"/>
          <w:lang w:eastAsia="zh-CN"/>
        </w:rPr>
        <w:t>促进毕业生就业</w:t>
      </w:r>
      <w:r>
        <w:rPr>
          <w:rFonts w:hint="eastAsia" w:ascii="华文仿宋" w:hAnsi="华文仿宋" w:eastAsia="华文仿宋"/>
          <w:sz w:val="32"/>
          <w:szCs w:val="32"/>
        </w:rPr>
        <w:t>活动。</w:t>
      </w:r>
      <w:r>
        <w:rPr>
          <w:rFonts w:hint="eastAsia" w:ascii="华文仿宋" w:hAnsi="华文仿宋" w:eastAsia="华文仿宋"/>
          <w:color w:val="auto"/>
          <w:sz w:val="32"/>
          <w:szCs w:val="32"/>
        </w:rPr>
        <w:t>在毕业生招聘季针对不同专业召开了1</w:t>
      </w:r>
      <w:r>
        <w:rPr>
          <w:rFonts w:hint="eastAsia" w:ascii="华文仿宋" w:hAnsi="华文仿宋" w:eastAsia="华文仿宋"/>
          <w:color w:val="auto"/>
          <w:sz w:val="32"/>
          <w:szCs w:val="32"/>
          <w:lang w:val="en-US" w:eastAsia="zh-CN"/>
        </w:rPr>
        <w:t>8</w:t>
      </w:r>
      <w:r>
        <w:rPr>
          <w:rFonts w:hint="eastAsia" w:ascii="华文仿宋" w:hAnsi="华文仿宋" w:eastAsia="华文仿宋"/>
          <w:color w:val="auto"/>
          <w:sz w:val="32"/>
          <w:szCs w:val="32"/>
        </w:rPr>
        <w:t>场专场招聘会</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rPr>
        <w:t>并利用学院就业信息网与毕业生和用人单位及时沟通就业信息。</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2016年6月1 6日举办</w:t>
      </w:r>
      <w:r>
        <w:rPr>
          <w:rFonts w:hint="eastAsia" w:ascii="华文仿宋" w:hAnsi="华文仿宋" w:eastAsia="华文仿宋"/>
          <w:sz w:val="32"/>
          <w:szCs w:val="32"/>
          <w:lang w:val="en-US" w:eastAsia="zh-CN"/>
        </w:rPr>
        <w:t>的</w:t>
      </w:r>
      <w:r>
        <w:rPr>
          <w:rFonts w:hint="eastAsia" w:ascii="华文仿宋" w:hAnsi="华文仿宋" w:eastAsia="华文仿宋"/>
          <w:sz w:val="32"/>
          <w:szCs w:val="32"/>
        </w:rPr>
        <w:t>“山西能源学院2016届毕业生就业洽谈会”</w:t>
      </w:r>
      <w:r>
        <w:rPr>
          <w:rFonts w:hint="eastAsia" w:ascii="华文仿宋" w:hAnsi="华文仿宋" w:eastAsia="华文仿宋"/>
          <w:sz w:val="32"/>
          <w:szCs w:val="32"/>
          <w:lang w:eastAsia="zh-CN"/>
        </w:rPr>
        <w:t>吸引了省内外</w:t>
      </w:r>
      <w:r>
        <w:rPr>
          <w:rFonts w:hint="eastAsia" w:ascii="华文仿宋" w:hAnsi="华文仿宋" w:eastAsia="华文仿宋"/>
          <w:sz w:val="32"/>
          <w:szCs w:val="32"/>
        </w:rPr>
        <w:t>13</w:t>
      </w:r>
      <w:r>
        <w:rPr>
          <w:rFonts w:hint="eastAsia" w:ascii="华文仿宋" w:hAnsi="华文仿宋" w:eastAsia="华文仿宋"/>
          <w:sz w:val="32"/>
          <w:szCs w:val="32"/>
          <w:lang w:val="en-US" w:eastAsia="zh-CN"/>
        </w:rPr>
        <w:t>4</w:t>
      </w:r>
      <w:r>
        <w:rPr>
          <w:rFonts w:hint="eastAsia" w:ascii="华文仿宋" w:hAnsi="华文仿宋" w:eastAsia="华文仿宋"/>
          <w:sz w:val="32"/>
          <w:szCs w:val="32"/>
          <w:lang w:eastAsia="zh-CN"/>
        </w:rPr>
        <w:t>家用人单位</w:t>
      </w:r>
      <w:r>
        <w:rPr>
          <w:rFonts w:hint="eastAsia" w:ascii="华文仿宋" w:hAnsi="华文仿宋" w:eastAsia="华文仿宋"/>
          <w:sz w:val="32"/>
          <w:szCs w:val="32"/>
        </w:rPr>
        <w:t>，</w:t>
      </w:r>
      <w:r>
        <w:rPr>
          <w:rFonts w:hint="eastAsia" w:ascii="华文仿宋" w:hAnsi="华文仿宋" w:eastAsia="华文仿宋"/>
          <w:sz w:val="32"/>
          <w:szCs w:val="32"/>
          <w:lang w:eastAsia="zh-CN"/>
        </w:rPr>
        <w:t>提供用人岗位</w:t>
      </w:r>
      <w:r>
        <w:rPr>
          <w:rFonts w:hint="eastAsia" w:ascii="华文仿宋" w:hAnsi="华文仿宋" w:eastAsia="华文仿宋"/>
          <w:sz w:val="32"/>
          <w:szCs w:val="32"/>
          <w:lang w:val="en-US" w:eastAsia="zh-CN"/>
        </w:rPr>
        <w:t>3000余个。</w:t>
      </w:r>
      <w:r>
        <w:rPr>
          <w:rFonts w:hint="eastAsia" w:ascii="华文仿宋" w:hAnsi="华文仿宋" w:eastAsia="华文仿宋"/>
          <w:sz w:val="32"/>
          <w:szCs w:val="32"/>
        </w:rPr>
        <w:t>此次洽谈无论是招聘单位数量，还是就业范围和就业岗位，与以往相比都有了大幅度的提高。据统计，</w:t>
      </w:r>
      <w:r>
        <w:rPr>
          <w:rFonts w:hint="eastAsia" w:ascii="华文仿宋" w:hAnsi="华文仿宋" w:eastAsia="华文仿宋"/>
          <w:sz w:val="32"/>
          <w:szCs w:val="32"/>
          <w:lang w:eastAsia="zh-CN"/>
        </w:rPr>
        <w:t>有</w:t>
      </w:r>
      <w:r>
        <w:rPr>
          <w:rFonts w:hint="eastAsia" w:ascii="华文仿宋" w:hAnsi="华文仿宋" w:eastAsia="华文仿宋"/>
          <w:sz w:val="32"/>
          <w:szCs w:val="32"/>
          <w:lang w:val="en-US" w:eastAsia="zh-CN"/>
        </w:rPr>
        <w:t>1100名左右</w:t>
      </w:r>
      <w:r>
        <w:rPr>
          <w:rFonts w:hint="eastAsia" w:ascii="华文仿宋" w:hAnsi="华文仿宋" w:eastAsia="华文仿宋"/>
          <w:color w:val="000000" w:themeColor="text1"/>
          <w:sz w:val="32"/>
          <w:szCs w:val="32"/>
          <w:lang w:val="en-US" w:eastAsia="zh-CN"/>
        </w:rPr>
        <w:t>2016届应届毕业生及部分非应届毕业生参加了就业洽谈会</w:t>
      </w:r>
      <w:r>
        <w:rPr>
          <w:rFonts w:hint="eastAsia"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lang w:val="en-US" w:eastAsia="zh-CN"/>
        </w:rPr>
        <w:t>2016年的大型就业洽谈会和专场招聘中</w:t>
      </w:r>
      <w:r>
        <w:rPr>
          <w:rFonts w:hint="eastAsia" w:ascii="华文仿宋" w:hAnsi="华文仿宋" w:eastAsia="华文仿宋"/>
          <w:color w:val="000000" w:themeColor="text1"/>
          <w:sz w:val="32"/>
          <w:szCs w:val="32"/>
        </w:rPr>
        <w:t>充分运用“互联网+”模式，为毕业生们提供精准招聘</w:t>
      </w:r>
      <w:r>
        <w:rPr>
          <w:rFonts w:hint="eastAsia" w:ascii="华文仿宋" w:hAnsi="华文仿宋" w:eastAsia="华文仿宋"/>
          <w:color w:val="000000" w:themeColor="text1"/>
          <w:sz w:val="32"/>
          <w:szCs w:val="32"/>
          <w:lang w:val="en-US" w:eastAsia="zh-CN"/>
        </w:rPr>
        <w:t>服务</w:t>
      </w:r>
      <w:r>
        <w:rPr>
          <w:rFonts w:hint="eastAsia" w:ascii="华文仿宋" w:hAnsi="华文仿宋" w:eastAsia="华文仿宋"/>
          <w:color w:val="000000" w:themeColor="text1"/>
          <w:sz w:val="32"/>
          <w:szCs w:val="32"/>
        </w:rPr>
        <w:t>。洽谈会采用“线上+线下”相结合的方式，即：线上了解</w:t>
      </w:r>
      <w:r>
        <w:rPr>
          <w:rFonts w:hint="eastAsia" w:ascii="华文仿宋" w:hAnsi="华文仿宋" w:eastAsia="华文仿宋"/>
          <w:sz w:val="32"/>
          <w:szCs w:val="32"/>
        </w:rPr>
        <w:t>企业招聘信息、投递简历等，线下和企业面对面交流洽谈。洽谈会召开前学生可通过手机APP(码上招聘)线上方式获取招聘信息，打破了传统的招聘模式。应聘学生也可通过招聘现场扫描展板上的二维码，即时了解招聘企业简介、岗位职位招聘信息等，以便于更加方便、快捷、有针对性的选择合适的企业和单位。根据企业展位号，毕业生可直接联系用人单位有针对性投递简历进行交流洽谈，省时又省力，实现精确招聘，提高就业成功率。借助码上招聘平台，学院也与省内外多家优质企业达成了校企合作意向。</w:t>
      </w:r>
    </w:p>
    <w:p>
      <w:pPr>
        <w:numPr>
          <w:ilvl w:val="0"/>
          <w:numId w:val="6"/>
        </w:numPr>
        <w:rPr>
          <w:rFonts w:hint="eastAsia" w:ascii="华文仿宋" w:hAnsi="华文仿宋" w:eastAsia="华文仿宋"/>
          <w:sz w:val="32"/>
          <w:szCs w:val="32"/>
        </w:rPr>
      </w:pPr>
      <w:r>
        <w:rPr>
          <w:rFonts w:hint="eastAsia" w:ascii="华文仿宋" w:hAnsi="华文仿宋" w:eastAsia="华文仿宋"/>
          <w:sz w:val="32"/>
          <w:szCs w:val="32"/>
          <w:lang w:eastAsia="zh-CN"/>
        </w:rPr>
        <w:t>推进创新创业工作和自主创业工作</w:t>
      </w:r>
      <w:r>
        <w:rPr>
          <w:rFonts w:hint="eastAsia" w:ascii="华文仿宋" w:hAnsi="华文仿宋" w:eastAsia="华文仿宋"/>
          <w:sz w:val="32"/>
          <w:szCs w:val="32"/>
        </w:rPr>
        <w:t>，认真做好毕业生就业指导和就业观念的转变工作。</w:t>
      </w:r>
    </w:p>
    <w:p>
      <w:pPr>
        <w:numPr>
          <w:ilvl w:val="0"/>
          <w:numId w:val="7"/>
        </w:numPr>
        <w:ind w:firstLine="640" w:firstLineChars="200"/>
        <w:rPr>
          <w:rFonts w:hint="eastAsia" w:ascii="华文仿宋" w:hAnsi="华文仿宋" w:eastAsia="华文仿宋"/>
          <w:color w:val="auto"/>
          <w:sz w:val="32"/>
          <w:szCs w:val="32"/>
        </w:rPr>
      </w:pPr>
      <w:r>
        <w:rPr>
          <w:rFonts w:hint="eastAsia" w:ascii="华文仿宋" w:hAnsi="华文仿宋" w:eastAsia="华文仿宋"/>
          <w:color w:val="auto"/>
          <w:sz w:val="32"/>
          <w:szCs w:val="32"/>
          <w:lang w:val="en-US" w:eastAsia="zh-CN"/>
        </w:rPr>
        <w:t>推进</w:t>
      </w:r>
      <w:r>
        <w:rPr>
          <w:rFonts w:hint="eastAsia" w:ascii="华文仿宋" w:hAnsi="华文仿宋" w:eastAsia="华文仿宋"/>
          <w:color w:val="auto"/>
          <w:sz w:val="32"/>
          <w:szCs w:val="32"/>
        </w:rPr>
        <w:t>学生</w:t>
      </w:r>
      <w:r>
        <w:rPr>
          <w:rFonts w:hint="eastAsia" w:ascii="华文仿宋" w:hAnsi="华文仿宋" w:eastAsia="华文仿宋"/>
          <w:color w:val="auto"/>
          <w:sz w:val="32"/>
          <w:szCs w:val="32"/>
          <w:lang w:val="en-US" w:eastAsia="zh-CN"/>
        </w:rPr>
        <w:t>创新</w:t>
      </w:r>
      <w:r>
        <w:rPr>
          <w:rFonts w:hint="eastAsia" w:ascii="华文仿宋" w:hAnsi="华文仿宋" w:eastAsia="华文仿宋"/>
          <w:color w:val="auto"/>
          <w:sz w:val="32"/>
          <w:szCs w:val="32"/>
        </w:rPr>
        <w:t>创业</w:t>
      </w:r>
      <w:r>
        <w:rPr>
          <w:rFonts w:hint="eastAsia" w:ascii="华文仿宋" w:hAnsi="华文仿宋" w:eastAsia="华文仿宋"/>
          <w:color w:val="auto"/>
          <w:sz w:val="32"/>
          <w:szCs w:val="32"/>
          <w:lang w:val="en-US" w:eastAsia="zh-CN"/>
        </w:rPr>
        <w:t>工作</w:t>
      </w:r>
      <w:r>
        <w:rPr>
          <w:rFonts w:hint="eastAsia" w:ascii="华文仿宋" w:hAnsi="华文仿宋" w:eastAsia="华文仿宋"/>
          <w:color w:val="auto"/>
          <w:sz w:val="32"/>
          <w:szCs w:val="32"/>
          <w:lang w:eastAsia="zh-CN"/>
        </w:rPr>
        <w:t>。</w:t>
      </w:r>
    </w:p>
    <w:p>
      <w:pPr>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2016年</w:t>
      </w:r>
      <w:r>
        <w:rPr>
          <w:rFonts w:hint="eastAsia" w:ascii="华文仿宋" w:hAnsi="华文仿宋" w:eastAsia="华文仿宋"/>
          <w:sz w:val="32"/>
          <w:szCs w:val="32"/>
        </w:rPr>
        <w:t>，为落实《国务院关于进一步做好新形势下就业创业工作的意见》，《国务院办公厅关于深化高等学校创新创业教育改革的实施意见》、《教育部关于做好2016年全国普通高等学校毕业生就业创业工作的通知》文件精神，在学院领导高度重视下，我院面对新的就业形势做了大量工作，特别在学生创业创新基础工程方面投入精力。建立了校外企业创业导师队伍、校内创业师资队伍，利用创业大赛、学生社团活动、创业课堂和论坛等多种方式，在一年级、二年级、毕业生等不同阶段，让学生从了解创业理论、接受创业教育开始，再到创业实践训练，达到学生能够创业的目标。帮助毕业生实现就业创业</w:t>
      </w:r>
      <w:r>
        <w:rPr>
          <w:rFonts w:hint="eastAsia" w:ascii="华文仿宋" w:hAnsi="华文仿宋" w:eastAsia="华文仿宋"/>
          <w:sz w:val="32"/>
          <w:szCs w:val="32"/>
          <w:lang w:eastAsia="zh-CN"/>
        </w:rPr>
        <w:t>。</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为响应“大众创业、万众创新”号召，对毕业生和在校生进行创新创业教育，鼓励学生创业。学院</w:t>
      </w:r>
      <w:r>
        <w:rPr>
          <w:rFonts w:hint="eastAsia" w:ascii="华文仿宋" w:hAnsi="华文仿宋" w:eastAsia="华文仿宋"/>
          <w:sz w:val="32"/>
          <w:szCs w:val="32"/>
          <w:lang w:val="en-US" w:eastAsia="zh-CN"/>
        </w:rPr>
        <w:t>在</w:t>
      </w:r>
      <w:r>
        <w:rPr>
          <w:rFonts w:hint="eastAsia" w:ascii="华文仿宋" w:hAnsi="华文仿宋" w:eastAsia="华文仿宋"/>
          <w:sz w:val="32"/>
          <w:szCs w:val="32"/>
        </w:rPr>
        <w:t>2016年就业洽谈会</w:t>
      </w:r>
      <w:r>
        <w:rPr>
          <w:rFonts w:hint="eastAsia" w:ascii="华文仿宋" w:hAnsi="华文仿宋" w:eastAsia="华文仿宋"/>
          <w:sz w:val="32"/>
          <w:szCs w:val="32"/>
          <w:lang w:val="en-US" w:eastAsia="zh-CN"/>
        </w:rPr>
        <w:t>上</w:t>
      </w:r>
      <w:r>
        <w:rPr>
          <w:rFonts w:hint="eastAsia" w:ascii="华文仿宋" w:hAnsi="华文仿宋" w:eastAsia="华文仿宋"/>
          <w:sz w:val="32"/>
          <w:szCs w:val="32"/>
          <w:lang w:eastAsia="zh-CN"/>
        </w:rPr>
        <w:t>首次</w:t>
      </w:r>
      <w:r>
        <w:rPr>
          <w:rFonts w:hint="eastAsia" w:ascii="华文仿宋" w:hAnsi="华文仿宋" w:eastAsia="华文仿宋"/>
          <w:sz w:val="32"/>
          <w:szCs w:val="32"/>
        </w:rPr>
        <w:t>设立创业展示区，邀请创业成功的校友，包括创立顺溜刀削面连锁店的计算机系2010届毕业生雷政寰，他的新创业项目“喜娘水饺”获得2015年山西省大学生星火项目二等奖。展示区还有矿业工程系在校生的创业项目和大学城创客空间“智慧点匠客之家”。这些创业典型和众创空间通过现场展示，激发学生创新创业热情，为学生创新创业提供支持。</w:t>
      </w:r>
    </w:p>
    <w:p>
      <w:pPr>
        <w:rPr>
          <w:rFonts w:ascii="华文仿宋" w:hAnsi="华文仿宋" w:eastAsia="华文仿宋"/>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为推动我院创业工作的开展，全面贯彻落实《山西省人民政府关于进一步做好新形势下就业创业工作的实施意见》（晋政发[2015]34号）、《山西省人民政府办公厅关于扶持高校毕业生创业的意见》（晋政办发[2014]40号）及省人社厅、财政厅、教育厅《关于开展普通高校大学生毕业学年创业培训专项活动的通知》（晋人社厅[2014]36号）精神，我们经充分准备，于2016年4月份开始向省人社厅申报高校创业培训定点机构。经省人社厅审核，我院于5月30日以晋人社函【2016】340号文获得“SYB高校创业培训定点机构资格”</w:t>
      </w:r>
      <w:r>
        <w:rPr>
          <w:rFonts w:hint="eastAsia" w:ascii="华文仿宋" w:hAnsi="华文仿宋" w:eastAsia="华文仿宋"/>
          <w:sz w:val="32"/>
          <w:szCs w:val="32"/>
          <w:lang w:eastAsia="zh-CN"/>
        </w:rPr>
        <w:t>。</w:t>
      </w:r>
      <w:r>
        <w:rPr>
          <w:rFonts w:hint="eastAsia" w:ascii="华文仿宋" w:hAnsi="华文仿宋" w:eastAsia="华文仿宋"/>
          <w:sz w:val="32"/>
          <w:szCs w:val="32"/>
        </w:rPr>
        <w:t>积极组织有创业意愿的同学报名培训。目前已有435名同学报名参加SYB创业意识培训。</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增强学生对“大众创业、万众创新”的认识，按照山西省大众创业、万众创新厅级联席会议关于全国双创活动周山西省分会场活动的通知要求，10月13日我们组织安全工程系2016级50本科生参加2016年全国双创活动周山西省分会场活动。</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为进一步加强创业师资队伍建设，着实推进大学生创业培训专项活动，10月组织老师参加山西省人力资源和社会保障厅主办的创业师资培训和师资提高培训班培训。11月参加教育部2016年就业创业研讨会。</w:t>
      </w:r>
    </w:p>
    <w:p>
      <w:pPr>
        <w:ind w:firstLine="640" w:firstLineChars="200"/>
        <w:rPr>
          <w:rFonts w:hint="eastAsia" w:ascii="华文仿宋" w:hAnsi="华文仿宋" w:eastAsia="华文仿宋"/>
          <w:color w:val="auto"/>
          <w:sz w:val="32"/>
          <w:szCs w:val="32"/>
        </w:rPr>
      </w:pPr>
      <w:r>
        <w:rPr>
          <w:rFonts w:hint="eastAsia" w:ascii="华文仿宋" w:hAnsi="华文仿宋" w:eastAsia="华文仿宋"/>
          <w:sz w:val="32"/>
          <w:szCs w:val="32"/>
        </w:rPr>
        <w:t>我们还邀请学院教学主管部门，一同探讨把提高教育质量作为创新创业教育改革的出发点和落脚点，根据人才培养定位和创新创业教育目标要求，促进专业教育与创新创业教育有机融合</w:t>
      </w:r>
      <w:r>
        <w:rPr>
          <w:rFonts w:hint="eastAsia" w:ascii="华文仿宋" w:hAnsi="华文仿宋" w:eastAsia="华文仿宋"/>
          <w:sz w:val="32"/>
          <w:szCs w:val="32"/>
          <w:lang w:eastAsia="zh-CN"/>
        </w:rPr>
        <w:t>。</w:t>
      </w:r>
      <w:r>
        <w:rPr>
          <w:rFonts w:hint="eastAsia" w:ascii="华文仿宋" w:hAnsi="华文仿宋" w:eastAsia="华文仿宋"/>
          <w:sz w:val="32"/>
          <w:szCs w:val="32"/>
        </w:rPr>
        <w:t>按教育部要求从2016年起所有专业都要设置创新创业教育课程，对全体学生开发开设创新创业教育必修课和选修课，纳入学分管理。对有创业意愿的学生，开设创业指导及实训类课程。对已经开展创业实践的学生，开展企业经营管理类培训。</w:t>
      </w:r>
    </w:p>
    <w:p>
      <w:pPr>
        <w:numPr>
          <w:ilvl w:val="0"/>
          <w:numId w:val="7"/>
        </w:numPr>
        <w:ind w:firstLine="640" w:firstLineChars="200"/>
        <w:rPr>
          <w:rFonts w:hint="eastAsia" w:ascii="华文仿宋" w:hAnsi="华文仿宋" w:eastAsia="华文仿宋"/>
          <w:color w:val="auto"/>
          <w:sz w:val="32"/>
          <w:szCs w:val="32"/>
          <w:lang w:val="en-US"/>
        </w:rPr>
      </w:pPr>
      <w:r>
        <w:rPr>
          <w:rFonts w:hint="eastAsia" w:ascii="华文仿宋" w:hAnsi="华文仿宋" w:eastAsia="华文仿宋"/>
          <w:color w:val="auto"/>
          <w:sz w:val="32"/>
          <w:szCs w:val="32"/>
          <w:lang w:eastAsia="zh-CN"/>
        </w:rPr>
        <w:t>加强就业指导能力建设。</w:t>
      </w:r>
      <w:r>
        <w:rPr>
          <w:rFonts w:hint="eastAsia" w:ascii="华文仿宋" w:hAnsi="华文仿宋" w:eastAsia="华文仿宋"/>
          <w:color w:val="auto"/>
          <w:sz w:val="32"/>
          <w:szCs w:val="32"/>
          <w:lang w:val="en-US" w:eastAsia="zh-CN"/>
        </w:rPr>
        <w:t xml:space="preserve">    </w:t>
      </w:r>
    </w:p>
    <w:p>
      <w:pPr>
        <w:numPr>
          <w:ilvl w:val="0"/>
          <w:numId w:val="0"/>
        </w:numPr>
        <w:rPr>
          <w:rFonts w:ascii="华文仿宋" w:hAnsi="华文仿宋" w:eastAsia="华文仿宋"/>
          <w:sz w:val="32"/>
          <w:szCs w:val="32"/>
        </w:rPr>
      </w:pPr>
      <w:r>
        <w:rPr>
          <w:rFonts w:hint="eastAsia" w:ascii="华文仿宋" w:hAnsi="华文仿宋" w:eastAsia="华文仿宋"/>
          <w:sz w:val="32"/>
          <w:szCs w:val="32"/>
          <w:lang w:val="en-US" w:eastAsia="zh-CN"/>
        </w:rPr>
        <w:t xml:space="preserve">    2015年底，通过参加山西省高校毕业生就业指导中心举办的就业指导人员高级培训班，将各系（部）分管学生领导、就业工作人员参加培训，加强各系（部）就业指导老师的能力建设。</w:t>
      </w:r>
      <w:r>
        <w:rPr>
          <w:rFonts w:hint="eastAsia" w:ascii="华文仿宋" w:hAnsi="华文仿宋" w:eastAsia="华文仿宋"/>
          <w:sz w:val="32"/>
          <w:szCs w:val="32"/>
        </w:rPr>
        <w:t>针对就业工作中出现的新问题通过开设就业指导课，举办专题讲座，优秀毕业生返校报告会等形式进行全方位的就业指导，使学生了解就业形势和政策，熟悉派遣程序，并确立符合实际的就业观。通过模拟演练和案例分析使学生们掌握了一定的应聘技能和技巧。重点是降低学生期望值，合理定位。就业指导的主要内容包括：进行正确自我评价，确定自己在社会中的位置</w:t>
      </w:r>
      <w:r>
        <w:rPr>
          <w:rFonts w:hint="eastAsia" w:ascii="华文仿宋" w:hAnsi="华文仿宋" w:eastAsia="华文仿宋"/>
          <w:sz w:val="32"/>
          <w:szCs w:val="32"/>
          <w:lang w:eastAsia="zh-CN"/>
        </w:rPr>
        <w:t>；</w:t>
      </w:r>
      <w:r>
        <w:rPr>
          <w:rFonts w:hint="eastAsia" w:ascii="华文仿宋" w:hAnsi="华文仿宋" w:eastAsia="华文仿宋"/>
          <w:sz w:val="32"/>
          <w:szCs w:val="32"/>
        </w:rPr>
        <w:t>分析当年市场需求，准确定位就业方向，适度调整期望值</w:t>
      </w:r>
      <w:r>
        <w:rPr>
          <w:rFonts w:hint="eastAsia" w:ascii="华文仿宋" w:hAnsi="华文仿宋" w:eastAsia="华文仿宋"/>
          <w:sz w:val="32"/>
          <w:szCs w:val="32"/>
          <w:lang w:eastAsia="zh-CN"/>
        </w:rPr>
        <w:t>；教育学生</w:t>
      </w:r>
      <w:r>
        <w:rPr>
          <w:rFonts w:hint="eastAsia" w:ascii="华文仿宋" w:hAnsi="华文仿宋" w:eastAsia="华文仿宋"/>
          <w:sz w:val="32"/>
          <w:szCs w:val="32"/>
        </w:rPr>
        <w:t>树立先就业、后择业、再创业的观念，动员学生到基层工作</w:t>
      </w:r>
      <w:r>
        <w:rPr>
          <w:rFonts w:hint="eastAsia" w:ascii="华文仿宋" w:hAnsi="华文仿宋" w:eastAsia="华文仿宋"/>
          <w:sz w:val="32"/>
          <w:szCs w:val="32"/>
          <w:lang w:eastAsia="zh-CN"/>
        </w:rPr>
        <w:t>；</w:t>
      </w:r>
      <w:r>
        <w:rPr>
          <w:rFonts w:hint="eastAsia" w:ascii="华文仿宋" w:hAnsi="华文仿宋" w:eastAsia="华文仿宋"/>
          <w:sz w:val="32"/>
          <w:szCs w:val="32"/>
        </w:rPr>
        <w:t>积极引导毕业生认清当前形势，树立正确的就业、择业观念，逐步更新学生在就业过程中的观念，避免期望值过高的现象</w:t>
      </w:r>
      <w:r>
        <w:rPr>
          <w:rFonts w:hint="eastAsia" w:ascii="华文仿宋" w:hAnsi="华文仿宋" w:eastAsia="华文仿宋"/>
          <w:sz w:val="32"/>
          <w:szCs w:val="32"/>
          <w:lang w:eastAsia="zh-CN"/>
        </w:rPr>
        <w:t>；</w:t>
      </w:r>
      <w:r>
        <w:rPr>
          <w:rFonts w:hint="eastAsia" w:ascii="华文仿宋" w:hAnsi="华文仿宋" w:eastAsia="华文仿宋"/>
          <w:sz w:val="32"/>
          <w:szCs w:val="32"/>
        </w:rPr>
        <w:t>有意识的增强学生的就业心理素质，引导学生用积极的心态应对就业，在遇到问题时帮助学生及时调整心态，建立信心。对学生如何抓住机会、参加面试以及如何签约一一作了具体的指导。</w:t>
      </w:r>
    </w:p>
    <w:p>
      <w:pPr>
        <w:ind w:firstLine="480" w:firstLineChars="150"/>
        <w:rPr>
          <w:rFonts w:ascii="华文仿宋" w:hAnsi="华文仿宋" w:eastAsia="华文仿宋"/>
          <w:sz w:val="32"/>
          <w:szCs w:val="32"/>
        </w:rPr>
      </w:pPr>
      <w:r>
        <w:rPr>
          <w:rFonts w:hint="eastAsia" w:ascii="华文仿宋" w:hAnsi="华文仿宋" w:eastAsia="华文仿宋"/>
          <w:sz w:val="32"/>
          <w:szCs w:val="32"/>
        </w:rPr>
        <w:t>（四）</w:t>
      </w:r>
      <w:r>
        <w:rPr>
          <w:rFonts w:hint="eastAsia" w:ascii="华文仿宋" w:hAnsi="华文仿宋" w:eastAsia="华文仿宋"/>
          <w:sz w:val="32"/>
          <w:szCs w:val="32"/>
          <w:lang w:eastAsia="zh-CN"/>
        </w:rPr>
        <w:t>提升就业指导水平和服务能力，强化精确服务</w:t>
      </w:r>
      <w:r>
        <w:rPr>
          <w:rFonts w:hint="eastAsia" w:ascii="华文仿宋" w:hAnsi="华文仿宋" w:eastAsia="华文仿宋"/>
          <w:sz w:val="32"/>
          <w:szCs w:val="32"/>
          <w:lang w:val="en-US" w:eastAsia="zh-CN"/>
        </w:rPr>
        <w:t xml:space="preserve">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更好地做好毕业生的择优推荐工作，我们定期到各班调查了解每一位毕业生的就业情况，清楚是否每位毕业生已落实就业单位，未落实的是否有意向单位。特别是对家庭经济困难和有特殊困难的毕业生我们给予了高度重视，在同等条件下优先向用人单位推荐，通过及时了解和掌握每一位毕业生的情况，为下一阶段的工作重点提供准确的依据。将有需要学校再推荐意向的毕业生的个人资料登记，只要有信息，有合适的需求就通知他们，使他们能早日落实就业单位。让毕业生自始至终感受到学校的关心和支持，愉快地走上社会，正面人生。</w:t>
      </w:r>
    </w:p>
    <w:p>
      <w:pPr>
        <w:ind w:firstLine="480" w:firstLineChars="150"/>
        <w:rPr>
          <w:rFonts w:ascii="华文仿宋" w:hAnsi="华文仿宋" w:eastAsia="华文仿宋"/>
          <w:sz w:val="32"/>
          <w:szCs w:val="32"/>
        </w:rPr>
      </w:pPr>
      <w:r>
        <w:rPr>
          <w:rFonts w:hint="eastAsia" w:ascii="华文仿宋" w:hAnsi="华文仿宋" w:eastAsia="华文仿宋"/>
          <w:sz w:val="32"/>
          <w:szCs w:val="32"/>
        </w:rPr>
        <w:t>（五）</w:t>
      </w:r>
      <w:r>
        <w:rPr>
          <w:rFonts w:hint="eastAsia" w:ascii="华文仿宋" w:hAnsi="华文仿宋" w:eastAsia="华文仿宋"/>
          <w:sz w:val="32"/>
          <w:szCs w:val="32"/>
          <w:lang w:eastAsia="zh-CN"/>
        </w:rPr>
        <w:t>强化应用型人才培养目标</w:t>
      </w:r>
      <w:r>
        <w:rPr>
          <w:rFonts w:hint="eastAsia" w:ascii="华文仿宋" w:hAnsi="华文仿宋" w:eastAsia="华文仿宋"/>
          <w:sz w:val="32"/>
          <w:szCs w:val="32"/>
        </w:rPr>
        <w:t>，提高学生专业</w:t>
      </w:r>
      <w:r>
        <w:rPr>
          <w:rFonts w:hint="eastAsia" w:ascii="华文仿宋" w:hAnsi="华文仿宋" w:eastAsia="华文仿宋"/>
          <w:sz w:val="32"/>
          <w:szCs w:val="32"/>
          <w:lang w:eastAsia="zh-CN"/>
        </w:rPr>
        <w:t>操作</w:t>
      </w:r>
      <w:r>
        <w:rPr>
          <w:rFonts w:hint="eastAsia" w:ascii="华文仿宋" w:hAnsi="华文仿宋" w:eastAsia="华文仿宋"/>
          <w:sz w:val="32"/>
          <w:szCs w:val="32"/>
        </w:rPr>
        <w:t xml:space="preserve">技能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针对</w:t>
      </w:r>
      <w:r>
        <w:rPr>
          <w:rFonts w:hint="eastAsia" w:ascii="华文仿宋" w:hAnsi="华文仿宋" w:eastAsia="华文仿宋"/>
          <w:sz w:val="32"/>
          <w:szCs w:val="32"/>
          <w:lang w:eastAsia="zh-CN"/>
        </w:rPr>
        <w:t>学院应用型</w:t>
      </w:r>
      <w:r>
        <w:rPr>
          <w:rFonts w:hint="eastAsia" w:ascii="华文仿宋" w:hAnsi="华文仿宋" w:eastAsia="华文仿宋"/>
          <w:sz w:val="32"/>
          <w:szCs w:val="32"/>
          <w:lang w:val="en-US" w:eastAsia="zh-CN"/>
        </w:rPr>
        <w:t>人才</w:t>
      </w:r>
      <w:r>
        <w:rPr>
          <w:rFonts w:hint="eastAsia" w:ascii="华文仿宋" w:hAnsi="华文仿宋" w:eastAsia="华文仿宋"/>
          <w:sz w:val="32"/>
          <w:szCs w:val="32"/>
          <w:lang w:eastAsia="zh-CN"/>
        </w:rPr>
        <w:t>培养目标</w:t>
      </w:r>
      <w:r>
        <w:rPr>
          <w:rFonts w:hint="eastAsia" w:ascii="华文仿宋" w:hAnsi="华文仿宋" w:eastAsia="华文仿宋"/>
          <w:sz w:val="32"/>
          <w:szCs w:val="32"/>
        </w:rPr>
        <w:t>，按照“瞄准市场需求，提升职业能力，加强就业服务”的要求，在日常的教学和各项活动中，鼓励学生积极参与，加强综合素质的培养。不仅掌握过硬的专业技能，而且要注重培养自己的综合素质，多参加社会实践活动。</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为了适应毕业生即将踏入社会，走上工作岗位后的角色转换，使学生了解所学专业的培养目标和应具有的专业技能，我院积极开展了</w:t>
      </w:r>
      <w:r>
        <w:rPr>
          <w:rFonts w:hint="eastAsia" w:ascii="华文仿宋" w:hAnsi="华文仿宋" w:eastAsia="华文仿宋"/>
          <w:sz w:val="32"/>
          <w:szCs w:val="32"/>
          <w:lang w:eastAsia="zh-CN"/>
        </w:rPr>
        <w:t>学生</w:t>
      </w:r>
      <w:r>
        <w:rPr>
          <w:rFonts w:hint="eastAsia" w:ascii="华文仿宋" w:hAnsi="华文仿宋" w:eastAsia="华文仿宋"/>
          <w:sz w:val="32"/>
          <w:szCs w:val="32"/>
        </w:rPr>
        <w:t>职业资格鉴定工作。</w:t>
      </w:r>
    </w:p>
    <w:p>
      <w:pPr>
        <w:rPr>
          <w:rFonts w:ascii="华文仿宋" w:hAnsi="华文仿宋" w:eastAsia="华文仿宋"/>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为营造学历文凭与职业资格证书“双证”制度并重的氛围，推行国家双证制度的落实，提高</w:t>
      </w:r>
      <w:r>
        <w:rPr>
          <w:rFonts w:hint="eastAsia" w:ascii="华文仿宋" w:hAnsi="华文仿宋" w:eastAsia="华文仿宋"/>
          <w:sz w:val="32"/>
          <w:szCs w:val="32"/>
          <w:lang w:eastAsia="zh-CN"/>
        </w:rPr>
        <w:t>学生</w:t>
      </w:r>
      <w:r>
        <w:rPr>
          <w:rFonts w:hint="eastAsia" w:ascii="华文仿宋" w:hAnsi="华文仿宋" w:eastAsia="华文仿宋"/>
          <w:sz w:val="32"/>
          <w:szCs w:val="32"/>
        </w:rPr>
        <w:t>自身素质能力，实践能力、创新能力和适应市场变化能力。开展好</w:t>
      </w:r>
      <w:r>
        <w:rPr>
          <w:rFonts w:hint="eastAsia" w:ascii="华文仿宋" w:hAnsi="华文仿宋" w:eastAsia="华文仿宋"/>
          <w:sz w:val="32"/>
          <w:szCs w:val="32"/>
          <w:lang w:eastAsia="zh-CN"/>
        </w:rPr>
        <w:t>学生</w:t>
      </w:r>
      <w:r>
        <w:rPr>
          <w:rFonts w:hint="eastAsia" w:ascii="华文仿宋" w:hAnsi="华文仿宋" w:eastAsia="华文仿宋"/>
          <w:sz w:val="32"/>
          <w:szCs w:val="32"/>
        </w:rPr>
        <w:t>的技能鉴定工作是必然的。鉴定工作是要求技术性强、规则严、是对</w:t>
      </w:r>
      <w:r>
        <w:rPr>
          <w:rFonts w:hint="eastAsia" w:ascii="华文仿宋" w:hAnsi="华文仿宋" w:eastAsia="华文仿宋"/>
          <w:sz w:val="32"/>
          <w:szCs w:val="32"/>
          <w:lang w:eastAsia="zh-CN"/>
        </w:rPr>
        <w:t>学生</w:t>
      </w:r>
      <w:r>
        <w:rPr>
          <w:rFonts w:hint="eastAsia" w:ascii="华文仿宋" w:hAnsi="华文仿宋" w:eastAsia="华文仿宋"/>
          <w:sz w:val="32"/>
          <w:szCs w:val="32"/>
        </w:rPr>
        <w:t>专业技术水平全面测评的一项重要工作。考核流程规范是保证树立证书权威性的关键。强化</w:t>
      </w:r>
      <w:r>
        <w:rPr>
          <w:rFonts w:hint="eastAsia" w:ascii="华文仿宋" w:hAnsi="华文仿宋" w:eastAsia="华文仿宋"/>
          <w:sz w:val="32"/>
          <w:szCs w:val="32"/>
          <w:lang w:eastAsia="zh-CN"/>
        </w:rPr>
        <w:t>学生</w:t>
      </w:r>
      <w:r>
        <w:rPr>
          <w:rFonts w:hint="eastAsia" w:ascii="华文仿宋" w:hAnsi="华文仿宋" w:eastAsia="华文仿宋"/>
          <w:sz w:val="32"/>
          <w:szCs w:val="32"/>
        </w:rPr>
        <w:t>技能、熟练操作规程、规范鉴定程序、提升鉴定质量、提高鉴定合格率、强化考前培训、实行考培分离是必不可少的一个重要环节。</w:t>
      </w:r>
    </w:p>
    <w:p>
      <w:pP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我院2016年的职业技能鉴定工作，</w:t>
      </w:r>
      <w:r>
        <w:rPr>
          <w:rFonts w:hint="eastAsia" w:ascii="华文仿宋" w:hAnsi="华文仿宋" w:eastAsia="华文仿宋"/>
          <w:sz w:val="32"/>
          <w:szCs w:val="32"/>
          <w:lang w:eastAsia="zh-CN"/>
        </w:rPr>
        <w:t>主要在大二专科学生中开展，</w:t>
      </w:r>
      <w:r>
        <w:rPr>
          <w:rFonts w:hint="eastAsia" w:ascii="华文仿宋" w:hAnsi="华文仿宋" w:eastAsia="华文仿宋"/>
          <w:sz w:val="32"/>
          <w:szCs w:val="32"/>
          <w:lang w:val="en-US" w:eastAsia="zh-CN"/>
        </w:rPr>
        <w:t>共有8大行业，24个工种参与鉴定，</w:t>
      </w:r>
      <w:r>
        <w:rPr>
          <w:rFonts w:hint="eastAsia" w:ascii="华文仿宋" w:hAnsi="华文仿宋" w:eastAsia="华文仿宋"/>
          <w:sz w:val="32"/>
          <w:szCs w:val="32"/>
        </w:rPr>
        <w:t>通过我院全体人员的共同努力共培训</w:t>
      </w:r>
      <w:r>
        <w:rPr>
          <w:rFonts w:hint="eastAsia" w:ascii="华文仿宋" w:hAnsi="华文仿宋" w:eastAsia="华文仿宋"/>
          <w:sz w:val="32"/>
          <w:szCs w:val="32"/>
          <w:lang w:val="en-US" w:eastAsia="zh-CN"/>
        </w:rPr>
        <w:t>1166</w:t>
      </w:r>
      <w:r>
        <w:rPr>
          <w:rFonts w:hint="eastAsia" w:ascii="华文仿宋" w:hAnsi="华文仿宋" w:eastAsia="华文仿宋"/>
          <w:sz w:val="32"/>
          <w:szCs w:val="32"/>
        </w:rPr>
        <w:t>人次，鉴定学生</w:t>
      </w:r>
      <w:r>
        <w:rPr>
          <w:rFonts w:hint="eastAsia" w:ascii="华文仿宋" w:hAnsi="华文仿宋" w:eastAsia="华文仿宋"/>
          <w:sz w:val="32"/>
          <w:szCs w:val="32"/>
          <w:lang w:val="en-US" w:eastAsia="zh-CN"/>
        </w:rPr>
        <w:t>1299</w:t>
      </w:r>
      <w:r>
        <w:rPr>
          <w:rFonts w:hint="eastAsia" w:ascii="华文仿宋" w:hAnsi="华文仿宋" w:eastAsia="华文仿宋"/>
          <w:sz w:val="32"/>
          <w:szCs w:val="32"/>
        </w:rPr>
        <w:t>人</w:t>
      </w:r>
      <w:r>
        <w:rPr>
          <w:rFonts w:hint="eastAsia" w:ascii="华文仿宋" w:hAnsi="华文仿宋" w:eastAsia="华文仿宋"/>
          <w:sz w:val="32"/>
          <w:szCs w:val="32"/>
          <w:lang w:eastAsia="zh-CN"/>
        </w:rPr>
        <w:t>，合格率达</w:t>
      </w:r>
      <w:r>
        <w:rPr>
          <w:rFonts w:hint="eastAsia" w:ascii="华文仿宋" w:hAnsi="华文仿宋" w:eastAsia="华文仿宋"/>
          <w:sz w:val="32"/>
          <w:szCs w:val="32"/>
          <w:lang w:val="en-US" w:eastAsia="zh-CN"/>
        </w:rPr>
        <w:t>90％以上。</w:t>
      </w:r>
    </w:p>
    <w:p>
      <w:pPr>
        <w:rPr>
          <w:rFonts w:hint="eastAsia" w:ascii="华文仿宋" w:hAnsi="华文仿宋" w:eastAsia="华文仿宋"/>
          <w:color w:val="000000" w:themeColor="text1"/>
          <w:sz w:val="32"/>
          <w:szCs w:val="32"/>
          <w:lang w:val="en-US" w:eastAsia="zh-CN"/>
        </w:rPr>
      </w:pPr>
      <w:r>
        <w:rPr>
          <w:rFonts w:hint="eastAsia" w:ascii="华文仿宋" w:hAnsi="华文仿宋" w:eastAsia="华文仿宋"/>
          <w:sz w:val="32"/>
          <w:szCs w:val="32"/>
          <w:lang w:val="en-US" w:eastAsia="zh-CN"/>
        </w:rPr>
        <w:t xml:space="preserve">    2016年有7个专业24名教师参加了职业鉴定师培训，培养了自己的职业鉴定工作人员队伍，下一步要将大三本科</w:t>
      </w:r>
      <w:r>
        <w:rPr>
          <w:rFonts w:hint="eastAsia" w:ascii="华文仿宋" w:hAnsi="华文仿宋" w:eastAsia="华文仿宋"/>
          <w:color w:val="000000" w:themeColor="text1"/>
          <w:sz w:val="32"/>
          <w:szCs w:val="32"/>
          <w:lang w:val="en-US" w:eastAsia="zh-CN"/>
        </w:rPr>
        <w:t>生纳入职业鉴定工作范围。</w:t>
      </w:r>
    </w:p>
    <w:p>
      <w:pPr>
        <w:ind w:firstLine="480" w:firstLineChars="150"/>
        <w:rPr>
          <w:rFonts w:ascii="华文仿宋" w:hAnsi="华文仿宋" w:eastAsia="华文仿宋"/>
          <w:color w:val="auto"/>
          <w:sz w:val="32"/>
          <w:szCs w:val="32"/>
        </w:rPr>
      </w:pPr>
      <w:r>
        <w:rPr>
          <w:rFonts w:hint="eastAsia" w:ascii="华文仿宋" w:hAnsi="华文仿宋" w:eastAsia="华文仿宋"/>
          <w:color w:val="000000" w:themeColor="text1"/>
          <w:sz w:val="32"/>
          <w:szCs w:val="32"/>
        </w:rPr>
        <w:t>（六）鼓励</w:t>
      </w:r>
      <w:r>
        <w:rPr>
          <w:rFonts w:hint="eastAsia" w:ascii="华文仿宋" w:hAnsi="华文仿宋" w:eastAsia="华文仿宋"/>
          <w:color w:val="000000" w:themeColor="text1"/>
          <w:sz w:val="32"/>
          <w:szCs w:val="32"/>
          <w:lang w:eastAsia="zh-CN"/>
        </w:rPr>
        <w:t>毕业</w:t>
      </w:r>
      <w:r>
        <w:rPr>
          <w:rFonts w:hint="eastAsia" w:ascii="华文仿宋" w:hAnsi="华文仿宋" w:eastAsia="华文仿宋"/>
          <w:color w:val="000000" w:themeColor="text1"/>
          <w:sz w:val="32"/>
          <w:szCs w:val="32"/>
        </w:rPr>
        <w:t>生参加公务员</w:t>
      </w:r>
      <w:r>
        <w:rPr>
          <w:rFonts w:hint="eastAsia" w:ascii="华文仿宋" w:hAnsi="华文仿宋" w:eastAsia="华文仿宋"/>
          <w:sz w:val="32"/>
          <w:szCs w:val="32"/>
        </w:rPr>
        <w:t>考试、事业单位招考和金融企业公开招聘考试等各种考试和</w:t>
      </w:r>
      <w:r>
        <w:rPr>
          <w:rFonts w:hint="eastAsia" w:ascii="华文仿宋" w:hAnsi="华文仿宋" w:eastAsia="华文仿宋"/>
          <w:color w:val="auto"/>
          <w:sz w:val="32"/>
          <w:szCs w:val="32"/>
        </w:rPr>
        <w:t>专升本升学考试</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考试和升学不仅仅可以让学生继续深造，有新的发展空间，也是我们提高就业率、提高学</w:t>
      </w:r>
      <w:r>
        <w:rPr>
          <w:rFonts w:hint="eastAsia" w:ascii="华文仿宋" w:hAnsi="华文仿宋" w:eastAsia="华文仿宋"/>
          <w:sz w:val="32"/>
          <w:szCs w:val="32"/>
          <w:lang w:eastAsia="zh-CN"/>
        </w:rPr>
        <w:t>院</w:t>
      </w:r>
      <w:r>
        <w:rPr>
          <w:rFonts w:hint="eastAsia" w:ascii="华文仿宋" w:hAnsi="华文仿宋" w:eastAsia="华文仿宋"/>
          <w:sz w:val="32"/>
          <w:szCs w:val="32"/>
        </w:rPr>
        <w:t>知名度的一种途径。因此在本年度的工作中除了继续加大宣传力度，还为学生提供有利的条件，鼓励学生参加专升本升学。今年有</w:t>
      </w:r>
      <w:r>
        <w:rPr>
          <w:rFonts w:hint="eastAsia" w:ascii="华文仿宋" w:hAnsi="华文仿宋" w:eastAsia="华文仿宋"/>
          <w:sz w:val="32"/>
          <w:szCs w:val="32"/>
          <w:lang w:val="en-US" w:eastAsia="zh-CN"/>
        </w:rPr>
        <w:t>90</w:t>
      </w:r>
      <w:r>
        <w:rPr>
          <w:rFonts w:hint="eastAsia" w:ascii="华文仿宋" w:hAnsi="华文仿宋" w:eastAsia="华文仿宋"/>
          <w:sz w:val="32"/>
          <w:szCs w:val="32"/>
        </w:rPr>
        <w:t>名毕业生的专升本成绩达到了录取分数线。以升学推进就业得到重大突破。</w:t>
      </w:r>
    </w:p>
    <w:p>
      <w:pPr>
        <w:ind w:firstLine="480" w:firstLineChars="150"/>
        <w:rPr>
          <w:rFonts w:ascii="华文仿宋" w:hAnsi="华文仿宋" w:eastAsia="华文仿宋"/>
          <w:sz w:val="32"/>
          <w:szCs w:val="32"/>
        </w:rPr>
      </w:pPr>
      <w:r>
        <w:rPr>
          <w:rFonts w:hint="eastAsia" w:ascii="华文仿宋" w:hAnsi="华文仿宋" w:eastAsia="华文仿宋"/>
          <w:sz w:val="32"/>
          <w:szCs w:val="32"/>
        </w:rPr>
        <w:t>（七）加强项目就业中征兵工作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从2007年起，国务院，中央军委发布命令，加大在高等院校应届毕业生</w:t>
      </w:r>
      <w:r>
        <w:rPr>
          <w:rFonts w:hint="eastAsia" w:ascii="华文仿宋" w:hAnsi="华文仿宋" w:eastAsia="华文仿宋"/>
          <w:sz w:val="32"/>
          <w:szCs w:val="32"/>
          <w:lang w:eastAsia="zh-CN"/>
        </w:rPr>
        <w:t>和在校生</w:t>
      </w:r>
      <w:r>
        <w:rPr>
          <w:rFonts w:hint="eastAsia" w:ascii="华文仿宋" w:hAnsi="华文仿宋" w:eastAsia="华文仿宋"/>
          <w:sz w:val="32"/>
          <w:szCs w:val="32"/>
        </w:rPr>
        <w:t>的征兵力度.为了进一步落实国家鼓励普通高校应届毕业生应征入伍</w:t>
      </w:r>
      <w:r>
        <w:rPr>
          <w:rFonts w:hint="eastAsia" w:ascii="华文仿宋" w:hAnsi="华文仿宋" w:eastAsia="华文仿宋"/>
          <w:sz w:val="32"/>
          <w:szCs w:val="32"/>
          <w:lang w:val="en-US" w:eastAsia="zh-CN"/>
        </w:rPr>
        <w:t>服</w:t>
      </w:r>
      <w:r>
        <w:rPr>
          <w:rFonts w:hint="eastAsia" w:ascii="华文仿宋" w:hAnsi="华文仿宋" w:eastAsia="华文仿宋"/>
          <w:sz w:val="32"/>
          <w:szCs w:val="32"/>
        </w:rPr>
        <w:t>兵役的有关政策，我们利用学院广播站广播、张贴宣传公告、电话宣传、召集各系部书记会议等途径，进行了宣传发动安排布署，经过层层动员，我院2016届毕业生在学院的广泛宣传与号召下，有10</w:t>
      </w:r>
      <w:r>
        <w:rPr>
          <w:rFonts w:hint="eastAsia" w:ascii="华文仿宋" w:hAnsi="华文仿宋" w:eastAsia="华文仿宋"/>
          <w:sz w:val="32"/>
          <w:szCs w:val="32"/>
          <w:lang w:val="en-US" w:eastAsia="zh-CN"/>
        </w:rPr>
        <w:t>名毕业生应征</w:t>
      </w:r>
      <w:r>
        <w:rPr>
          <w:rFonts w:hint="eastAsia" w:ascii="华文仿宋" w:hAnsi="华文仿宋" w:eastAsia="华文仿宋"/>
          <w:sz w:val="32"/>
          <w:szCs w:val="32"/>
        </w:rPr>
        <w:t xml:space="preserve">入伍服兵役。 </w:t>
      </w:r>
    </w:p>
    <w:p>
      <w:pPr>
        <w:pStyle w:val="19"/>
        <w:numPr>
          <w:ilvl w:val="0"/>
          <w:numId w:val="1"/>
        </w:numPr>
        <w:ind w:firstLineChars="0"/>
        <w:rPr>
          <w:rFonts w:ascii="黑体" w:hAnsi="黑体" w:eastAsia="黑体"/>
          <w:sz w:val="36"/>
          <w:szCs w:val="36"/>
        </w:rPr>
      </w:pPr>
      <w:r>
        <w:rPr>
          <w:rFonts w:hint="eastAsia" w:ascii="黑体" w:hAnsi="黑体" w:eastAsia="黑体"/>
          <w:sz w:val="36"/>
          <w:szCs w:val="36"/>
        </w:rPr>
        <w:t>2017年的就业形势的分析和预测</w:t>
      </w:r>
    </w:p>
    <w:p>
      <w:pPr>
        <w:pStyle w:val="19"/>
        <w:ind w:firstLine="640"/>
        <w:rPr>
          <w:rFonts w:ascii="华文仿宋" w:hAnsi="华文仿宋" w:eastAsia="华文仿宋"/>
          <w:sz w:val="32"/>
          <w:szCs w:val="32"/>
        </w:rPr>
      </w:pPr>
      <w:r>
        <w:rPr>
          <w:rFonts w:hint="eastAsia" w:ascii="华文仿宋" w:hAnsi="华文仿宋" w:eastAsia="华文仿宋"/>
          <w:sz w:val="32"/>
          <w:szCs w:val="32"/>
        </w:rPr>
        <w:t>对于即将到来的2017年的就业形势，我们谨作以下分析和预测：</w:t>
      </w:r>
    </w:p>
    <w:p>
      <w:pPr>
        <w:pStyle w:val="5"/>
        <w:widowControl/>
        <w:numPr>
          <w:ilvl w:val="0"/>
          <w:numId w:val="8"/>
        </w:numPr>
        <w:spacing w:before="226" w:after="150" w:line="330" w:lineRule="atLeas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高校毕业生就业人数压力持续增加。《国家中长期教育改革和发展规划纲》提出，2009～2020年，高等教育总规模从2979万人增加到3550万人，毛入学率从24.2%提高到40%，大学生就业的高峰还在后面。预计201</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届国内将有大学应届毕业生</w:t>
      </w:r>
      <w:r>
        <w:rPr>
          <w:rFonts w:hint="eastAsia" w:ascii="华文仿宋" w:hAnsi="华文仿宋" w:eastAsia="华文仿宋"/>
          <w:sz w:val="32"/>
          <w:szCs w:val="32"/>
          <w:lang w:val="en-US" w:eastAsia="zh-CN"/>
        </w:rPr>
        <w:t>795</w:t>
      </w:r>
      <w:r>
        <w:rPr>
          <w:rFonts w:hint="eastAsia" w:ascii="华文仿宋" w:hAnsi="华文仿宋" w:eastAsia="华文仿宋"/>
          <w:sz w:val="32"/>
          <w:szCs w:val="32"/>
        </w:rPr>
        <w:t>万以上，再加上出国留学归来及没有找到工作的往届毕业生，</w:t>
      </w:r>
      <w:r>
        <w:rPr>
          <w:rFonts w:hint="default" w:ascii="华文仿宋" w:hAnsi="华文仿宋" w:eastAsia="华文仿宋"/>
          <w:sz w:val="32"/>
          <w:szCs w:val="32"/>
        </w:rPr>
        <w:t>将近有1000+万大学生同时竞争</w:t>
      </w:r>
      <w:r>
        <w:rPr>
          <w:rFonts w:hint="eastAsia" w:ascii="华文仿宋" w:hAnsi="华文仿宋" w:eastAsia="华文仿宋"/>
          <w:sz w:val="32"/>
          <w:szCs w:val="32"/>
        </w:rPr>
        <w:t>进入就业市场</w:t>
      </w:r>
      <w:r>
        <w:rPr>
          <w:rFonts w:hint="eastAsia" w:ascii="华文仿宋" w:hAnsi="华文仿宋" w:eastAsia="华文仿宋"/>
          <w:sz w:val="32"/>
          <w:szCs w:val="32"/>
          <w:lang w:eastAsia="zh-CN"/>
        </w:rPr>
        <w:t>，</w:t>
      </w:r>
      <w:r>
        <w:rPr>
          <w:rFonts w:hint="eastAsia" w:ascii="华文仿宋" w:hAnsi="华文仿宋" w:eastAsia="华文仿宋"/>
          <w:sz w:val="32"/>
          <w:szCs w:val="32"/>
        </w:rPr>
        <w:t>就业形势严峻，竞争更是激烈异常。</w:t>
      </w:r>
    </w:p>
    <w:p>
      <w:pPr>
        <w:pStyle w:val="5"/>
        <w:widowControl/>
        <w:numPr>
          <w:ilvl w:val="0"/>
          <w:numId w:val="0"/>
        </w:numPr>
        <w:spacing w:before="226" w:after="150" w:line="330" w:lineRule="atLeast"/>
        <w:rPr>
          <w:rFonts w:hint="eastAsia" w:ascii="华文仿宋" w:hAnsi="华文仿宋" w:eastAsia="华文仿宋"/>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（二）经济增速放缓，对就业的拉动效应减弱</w:t>
      </w:r>
    </w:p>
    <w:p>
      <w:pPr>
        <w:pStyle w:val="5"/>
        <w:widowControl/>
        <w:numPr>
          <w:ilvl w:val="0"/>
          <w:numId w:val="0"/>
        </w:numPr>
        <w:spacing w:before="226" w:after="150" w:line="330" w:lineRule="atLeast"/>
        <w:rPr>
          <w:rFonts w:ascii="华文仿宋" w:hAnsi="华文仿宋" w:eastAsia="华文仿宋"/>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　</w:t>
      </w:r>
      <w:r>
        <w:rPr>
          <w:rFonts w:hint="eastAsia" w:ascii="华文仿宋" w:hAnsi="华文仿宋" w:eastAsia="华文仿宋"/>
          <w:sz w:val="32"/>
          <w:szCs w:val="32"/>
          <w:lang w:eastAsia="zh-CN"/>
        </w:rPr>
        <w:t>在</w:t>
      </w:r>
      <w:r>
        <w:rPr>
          <w:rFonts w:hint="eastAsia" w:ascii="华文仿宋" w:hAnsi="华文仿宋" w:eastAsia="华文仿宋"/>
          <w:sz w:val="32"/>
          <w:szCs w:val="32"/>
          <w:lang w:val="en-US" w:eastAsia="zh-CN"/>
        </w:rPr>
        <w:t>我国</w:t>
      </w:r>
      <w:r>
        <w:rPr>
          <w:rFonts w:hint="eastAsia" w:ascii="华文仿宋" w:hAnsi="华文仿宋" w:eastAsia="华文仿宋"/>
          <w:sz w:val="32"/>
          <w:szCs w:val="32"/>
        </w:rPr>
        <w:t>经济</w:t>
      </w:r>
      <w:r>
        <w:rPr>
          <w:rFonts w:hint="eastAsia" w:ascii="华文仿宋" w:hAnsi="华文仿宋" w:eastAsia="华文仿宋"/>
          <w:sz w:val="32"/>
          <w:szCs w:val="32"/>
          <w:lang w:eastAsia="zh-CN"/>
        </w:rPr>
        <w:t>新常态下，</w:t>
      </w:r>
      <w:r>
        <w:rPr>
          <w:rFonts w:hint="eastAsia" w:ascii="华文仿宋" w:hAnsi="华文仿宋" w:eastAsia="华文仿宋"/>
          <w:sz w:val="32"/>
          <w:szCs w:val="32"/>
        </w:rPr>
        <w:t>经济发展速度的放缓和结构的调整，客观上会对劳动者就业结构产生影响，同时也会对就业总体规模产生挤压效应，对劳动者就业产生影响。尤其是传统支柱产业企业改革的重组加快、淘汰落后产能、部分行业持续低迷及产能过剩将造成结构性失业和转型性失业，就业难度加大。中国社会科学院</w:t>
      </w:r>
      <w:r>
        <w:rPr>
          <w:rFonts w:hint="eastAsia" w:ascii="华文仿宋" w:hAnsi="华文仿宋" w:eastAsia="华文仿宋"/>
          <w:sz w:val="32"/>
          <w:szCs w:val="32"/>
          <w:lang w:eastAsia="zh-CN"/>
        </w:rPr>
        <w:t>于</w:t>
      </w:r>
      <w:r>
        <w:rPr>
          <w:rFonts w:hint="eastAsia" w:ascii="华文仿宋" w:hAnsi="华文仿宋" w:eastAsia="华文仿宋"/>
          <w:sz w:val="32"/>
          <w:szCs w:val="32"/>
          <w:lang w:val="en-US" w:eastAsia="zh-CN"/>
        </w:rPr>
        <w:t>2016年12月19日</w:t>
      </w:r>
      <w:r>
        <w:rPr>
          <w:rFonts w:hint="eastAsia" w:ascii="华文仿宋" w:hAnsi="华文仿宋" w:eastAsia="华文仿宋"/>
          <w:sz w:val="32"/>
          <w:szCs w:val="32"/>
        </w:rPr>
        <w:t>发布2017年《经济蓝皮书》，《蓝皮书》认为，2016年中国经济运行呈现五大特征</w:t>
      </w:r>
      <w:r>
        <w:rPr>
          <w:rFonts w:hint="eastAsia" w:ascii="华文仿宋" w:hAnsi="华文仿宋" w:eastAsia="华文仿宋"/>
          <w:sz w:val="32"/>
          <w:szCs w:val="32"/>
          <w:lang w:eastAsia="zh-CN"/>
        </w:rPr>
        <w:t>（</w:t>
      </w:r>
      <w:r>
        <w:rPr>
          <w:rFonts w:hint="eastAsia" w:ascii="华文仿宋" w:hAnsi="华文仿宋" w:eastAsia="华文仿宋"/>
          <w:sz w:val="32"/>
          <w:szCs w:val="32"/>
        </w:rPr>
        <w:t>第一是经济增长的速度平稳，波动幅度减少。第二是通缩压力减缓，通胀因素急剧。第三是固定资产投资增速下滑，民间投资基金过高，投资结构分化。第四是居民购房贷款增长过快，企业中长期贷款增速明显下降。第五是国际收支基本平衡，但是外汇储备持续减少，人民币贬值压力增大</w:t>
      </w:r>
      <w:r>
        <w:rPr>
          <w:rFonts w:hint="eastAsia" w:ascii="华文仿宋" w:hAnsi="华文仿宋" w:eastAsia="华文仿宋"/>
          <w:sz w:val="32"/>
          <w:szCs w:val="32"/>
          <w:lang w:eastAsia="zh-CN"/>
        </w:rPr>
        <w:t>）。</w:t>
      </w:r>
      <w:r>
        <w:rPr>
          <w:rFonts w:hint="eastAsia" w:ascii="华文仿宋" w:hAnsi="华文仿宋" w:eastAsia="华文仿宋"/>
          <w:sz w:val="32"/>
          <w:szCs w:val="32"/>
        </w:rPr>
        <w:t>全年经济增速预计在6.7</w:t>
      </w:r>
      <w:r>
        <w:rPr>
          <w:rFonts w:hint="eastAsia" w:ascii="华文仿宋" w:hAnsi="华文仿宋" w:eastAsia="华文仿宋"/>
          <w:sz w:val="32"/>
          <w:szCs w:val="32"/>
          <w:lang w:eastAsia="zh-CN"/>
        </w:rPr>
        <w:t>％</w:t>
      </w:r>
      <w:r>
        <w:rPr>
          <w:rFonts w:hint="eastAsia" w:ascii="华文仿宋" w:hAnsi="华文仿宋" w:eastAsia="华文仿宋"/>
          <w:sz w:val="32"/>
          <w:szCs w:val="32"/>
        </w:rPr>
        <w:t>左右，增速比上年回落0.2个百分点。这将是20多年来的最低增速，就业和经济增长是高度相关的，</w:t>
      </w:r>
      <w:r>
        <w:rPr>
          <w:rFonts w:ascii="华文仿宋" w:hAnsi="华文仿宋" w:eastAsia="华文仿宋"/>
          <w:sz w:val="32"/>
          <w:szCs w:val="32"/>
        </w:rPr>
        <w:t>GDP</w:t>
      </w:r>
      <w:r>
        <w:rPr>
          <w:rFonts w:hint="eastAsia" w:ascii="华文仿宋" w:hAnsi="华文仿宋" w:eastAsia="华文仿宋"/>
          <w:sz w:val="32"/>
          <w:szCs w:val="32"/>
        </w:rPr>
        <w:t>每增长1个百分点能拉动150万人就业，经济增速比前三年的减速，直接造成社会提供的就业岗位减少。</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三）“摩擦性”失业状况明显。从当前高校培养人才的结构和社会需求有脱节情形，学生的就业观念和社会期望值矛盾突出。造成有就业岗位学生不愿从事，都想在大城市、事业单位、国有企业就业，就业结构问题无明显改善。</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2017年就业形势的展望</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具体到我们学院，因为本轮经济形势的新常态，主要表现在资源、能源类产业增速下滑，特别是山西的煤炭行业在重新整合后前几年的大发展，从2013年开始紧跟着市场萎缩，整个行业开工不足，对人才需求量急剧下滑。</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面对当前就业国家的大环境和学院具体实际，我们拟从以下几个方面积极开展工作：</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（一）着力加强创新创业教育和自主创业工作。今年国务院办公厅</w:t>
      </w:r>
      <w:r>
        <w:rPr>
          <w:rFonts w:hint="eastAsia" w:ascii="华文仿宋" w:hAnsi="华文仿宋" w:eastAsia="华文仿宋"/>
          <w:sz w:val="32"/>
          <w:szCs w:val="32"/>
          <w:lang w:eastAsia="zh-CN"/>
        </w:rPr>
        <w:t>《</w:t>
      </w:r>
      <w:r>
        <w:rPr>
          <w:rFonts w:hint="eastAsia" w:ascii="华文仿宋" w:hAnsi="华文仿宋" w:eastAsia="华文仿宋"/>
          <w:sz w:val="32"/>
          <w:szCs w:val="32"/>
        </w:rPr>
        <w:t>关于做好2016年高校毕业生就业创业工作的通知</w:t>
      </w:r>
      <w:r>
        <w:rPr>
          <w:rFonts w:hint="eastAsia" w:ascii="华文仿宋" w:hAnsi="华文仿宋" w:eastAsia="华文仿宋"/>
          <w:sz w:val="32"/>
          <w:szCs w:val="32"/>
          <w:lang w:eastAsia="zh-CN"/>
        </w:rPr>
        <w:t>》</w:t>
      </w:r>
      <w:r>
        <w:rPr>
          <w:rFonts w:hint="eastAsia" w:ascii="华文仿宋" w:hAnsi="华文仿宋" w:eastAsia="华文仿宋"/>
          <w:sz w:val="32"/>
          <w:szCs w:val="32"/>
        </w:rPr>
        <w:t>中，再次把高校毕业生创业与就业并提。山西省政府和相关部门也出台鼓励毕业生创业的政策，对毕业生创业教育成为就业工作的一个重要方面。推进大学生自主创业</w:t>
      </w:r>
      <w:r>
        <w:rPr>
          <w:rFonts w:hint="eastAsia" w:ascii="华文仿宋" w:hAnsi="华文仿宋" w:eastAsia="华文仿宋"/>
          <w:sz w:val="32"/>
          <w:szCs w:val="32"/>
          <w:lang w:eastAsia="zh-CN"/>
        </w:rPr>
        <w:t>，</w:t>
      </w:r>
      <w:r>
        <w:rPr>
          <w:rFonts w:hint="eastAsia" w:ascii="华文仿宋" w:hAnsi="华文仿宋" w:eastAsia="华文仿宋"/>
          <w:sz w:val="32"/>
          <w:szCs w:val="32"/>
        </w:rPr>
        <w:t>将创新精神、创业意识和创新创业能力的培养融入到人才培养全过程各环节，完善细化创新创业学分积累与转换、弹性学制管理、保留学籍休学创业等政策，做好创业指导服务。</w:t>
      </w:r>
    </w:p>
    <w:p>
      <w:pPr>
        <w:ind w:firstLine="640" w:firstLineChars="200"/>
        <w:rPr>
          <w:rFonts w:ascii="华文仿宋" w:hAnsi="华文仿宋" w:eastAsia="华文仿宋"/>
          <w:color w:val="FF0000"/>
          <w:sz w:val="32"/>
          <w:szCs w:val="32"/>
        </w:rPr>
      </w:pPr>
      <w:r>
        <w:rPr>
          <w:rFonts w:hint="eastAsia" w:ascii="华文仿宋" w:hAnsi="华文仿宋" w:eastAsia="华文仿宋"/>
          <w:sz w:val="32"/>
          <w:szCs w:val="32"/>
        </w:rPr>
        <w:t>（二）继续加强</w:t>
      </w:r>
      <w:r>
        <w:rPr>
          <w:rFonts w:hint="eastAsia" w:ascii="华文仿宋" w:hAnsi="华文仿宋" w:eastAsia="华文仿宋"/>
          <w:sz w:val="32"/>
          <w:szCs w:val="32"/>
          <w:lang w:eastAsia="zh-CN"/>
        </w:rPr>
        <w:t>就业指导能力建设和</w:t>
      </w:r>
      <w:r>
        <w:rPr>
          <w:rFonts w:hint="eastAsia" w:ascii="华文仿宋" w:hAnsi="华文仿宋" w:eastAsia="华文仿宋"/>
          <w:sz w:val="32"/>
          <w:szCs w:val="32"/>
        </w:rPr>
        <w:t>毕业生就业观念教育。</w:t>
      </w:r>
      <w:r>
        <w:rPr>
          <w:rFonts w:hint="eastAsia" w:ascii="华文仿宋" w:hAnsi="华文仿宋" w:eastAsia="华文仿宋"/>
          <w:sz w:val="32"/>
          <w:szCs w:val="32"/>
          <w:lang w:val="en-US" w:eastAsia="zh-CN"/>
        </w:rPr>
        <w:t>加</w:t>
      </w:r>
      <w:r>
        <w:rPr>
          <w:rFonts w:hint="eastAsia" w:ascii="华文仿宋" w:hAnsi="华文仿宋" w:eastAsia="华文仿宋"/>
          <w:color w:val="000000" w:themeColor="text1"/>
          <w:sz w:val="32"/>
          <w:szCs w:val="32"/>
          <w:lang w:val="en-US" w:eastAsia="zh-CN"/>
        </w:rPr>
        <w:t>强就业指导老师培训，提升就业指导老师的政策理论水平和职业指导能力。</w:t>
      </w:r>
      <w:r>
        <w:rPr>
          <w:rFonts w:hint="eastAsia" w:ascii="华文仿宋" w:hAnsi="华文仿宋" w:eastAsia="华文仿宋"/>
          <w:color w:val="000000" w:themeColor="text1"/>
          <w:sz w:val="32"/>
          <w:szCs w:val="32"/>
        </w:rPr>
        <w:t>除已经开设的《职业生涯规划》、《应聘面试技巧》、《就业形势与政策》等就业指导课程外，</w:t>
      </w:r>
      <w:r>
        <w:rPr>
          <w:rFonts w:hint="eastAsia" w:ascii="华文仿宋" w:hAnsi="华文仿宋" w:eastAsia="华文仿宋"/>
          <w:color w:val="000000" w:themeColor="text1"/>
          <w:sz w:val="32"/>
          <w:szCs w:val="32"/>
          <w:lang w:eastAsia="zh-CN"/>
        </w:rPr>
        <w:t>探索将就业理论与学科专业相融合，另外</w:t>
      </w:r>
      <w:r>
        <w:rPr>
          <w:rFonts w:hint="eastAsia" w:ascii="华文仿宋" w:hAnsi="华文仿宋" w:eastAsia="华文仿宋"/>
          <w:color w:val="000000" w:themeColor="text1"/>
          <w:sz w:val="32"/>
          <w:szCs w:val="32"/>
        </w:rPr>
        <w:t>再邀请企事业单位人力资源专家和已毕业生中优秀代表给毕业生召开讲座、座谈会</w:t>
      </w:r>
      <w:r>
        <w:rPr>
          <w:rFonts w:hint="eastAsia" w:ascii="华文仿宋" w:hAnsi="华文仿宋" w:eastAsia="华文仿宋"/>
          <w:color w:val="000000" w:themeColor="text1"/>
          <w:sz w:val="32"/>
          <w:szCs w:val="32"/>
          <w:lang w:eastAsia="zh-CN"/>
        </w:rPr>
        <w:t>，</w:t>
      </w:r>
      <w:r>
        <w:rPr>
          <w:rFonts w:hint="eastAsia" w:ascii="华文仿宋" w:hAnsi="华文仿宋" w:eastAsia="华文仿宋"/>
          <w:color w:val="000000" w:themeColor="text1"/>
          <w:sz w:val="32"/>
          <w:szCs w:val="32"/>
        </w:rPr>
        <w:t>引领毕业生到城乡基层就业、到民营和小微企业就业。</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（三）</w:t>
      </w:r>
      <w:r>
        <w:rPr>
          <w:rFonts w:hint="eastAsia" w:ascii="华文仿宋" w:hAnsi="华文仿宋" w:eastAsia="华文仿宋"/>
          <w:sz w:val="32"/>
          <w:szCs w:val="32"/>
          <w:lang w:eastAsia="zh-CN"/>
        </w:rPr>
        <w:t>拓宽基层和重点领域就业渠道。</w:t>
      </w:r>
      <w:r>
        <w:rPr>
          <w:rFonts w:hint="eastAsia" w:ascii="华文仿宋" w:hAnsi="华文仿宋" w:eastAsia="华文仿宋"/>
          <w:sz w:val="32"/>
          <w:szCs w:val="32"/>
        </w:rPr>
        <w:t>在当前企业用工需求减少的大环境下，要主动走向市场，主动联系用人单位，特别是吸纳毕业生主力的小微企业</w:t>
      </w:r>
      <w:r>
        <w:rPr>
          <w:rFonts w:hint="eastAsia" w:ascii="华文仿宋" w:hAnsi="华文仿宋" w:eastAsia="华文仿宋"/>
          <w:sz w:val="32"/>
          <w:szCs w:val="32"/>
          <w:lang w:val="en-US" w:eastAsia="zh-CN"/>
        </w:rPr>
        <w:t>和城乡基层企业，将小微企业作为毕业生就业的主渠道。</w:t>
      </w:r>
      <w:r>
        <w:rPr>
          <w:rFonts w:hint="eastAsia" w:ascii="华文仿宋" w:hAnsi="华文仿宋" w:eastAsia="华文仿宋"/>
          <w:sz w:val="32"/>
          <w:szCs w:val="32"/>
        </w:rPr>
        <w:t>加大宣传、鼓励毕业生</w:t>
      </w:r>
      <w:r>
        <w:rPr>
          <w:rFonts w:hint="eastAsia" w:ascii="华文仿宋" w:hAnsi="华文仿宋" w:eastAsia="华文仿宋"/>
          <w:sz w:val="32"/>
          <w:szCs w:val="32"/>
          <w:lang w:val="en-US" w:eastAsia="zh-CN"/>
        </w:rPr>
        <w:t>到中西部地区、东部地区和艰苦边远地区就业创业，向重点地区、重大工程、重大项目、重要领域输送毕业生，服务国家发展战略开拓就业岗位，</w:t>
      </w:r>
      <w:r>
        <w:rPr>
          <w:rFonts w:hint="eastAsia" w:ascii="华文仿宋" w:hAnsi="华文仿宋" w:eastAsia="华文仿宋"/>
          <w:sz w:val="32"/>
          <w:szCs w:val="32"/>
        </w:rPr>
        <w:t>鼓励优秀大学生投身军营报效祖国、基层公共就业服务岗位、三支一扶等多种方式的项目就业。</w:t>
      </w:r>
    </w:p>
    <w:p>
      <w:pPr>
        <w:rPr>
          <w:rFonts w:ascii="华文仿宋" w:hAnsi="华文仿宋" w:eastAsia="华文仿宋"/>
          <w:sz w:val="32"/>
          <w:szCs w:val="32"/>
        </w:rPr>
      </w:pP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（四）提高就业指导</w:t>
      </w:r>
      <w:r>
        <w:rPr>
          <w:rFonts w:hint="eastAsia" w:ascii="华文仿宋" w:hAnsi="华文仿宋" w:eastAsia="华文仿宋"/>
          <w:sz w:val="32"/>
          <w:szCs w:val="32"/>
          <w:lang w:eastAsia="zh-CN"/>
        </w:rPr>
        <w:t>水平和</w:t>
      </w:r>
      <w:r>
        <w:rPr>
          <w:rFonts w:hint="eastAsia" w:ascii="华文仿宋" w:hAnsi="华文仿宋" w:eastAsia="华文仿宋"/>
          <w:sz w:val="32"/>
          <w:szCs w:val="32"/>
        </w:rPr>
        <w:t>服务能力，要建立</w:t>
      </w:r>
      <w:r>
        <w:rPr>
          <w:rFonts w:hint="eastAsia" w:ascii="华文仿宋" w:hAnsi="华文仿宋" w:eastAsia="华文仿宋"/>
          <w:sz w:val="32"/>
          <w:szCs w:val="32"/>
          <w:lang w:eastAsia="zh-CN"/>
        </w:rPr>
        <w:t>健全</w:t>
      </w:r>
      <w:r>
        <w:rPr>
          <w:rFonts w:hint="eastAsia" w:ascii="华文仿宋" w:hAnsi="华文仿宋" w:eastAsia="华文仿宋"/>
          <w:sz w:val="32"/>
          <w:szCs w:val="32"/>
        </w:rPr>
        <w:t>毕业生求职意愿信息数据库和用人单位岗位需求信息数据库，加强就业创业指导课程和学科建设，对困难群体毕业生实行“一生一策”动态帮扶，配齐配强专兼职就业指导教师。引导毕业生利用学院就业信息网站、教育部和人社部的网络招聘会。以班主任为龙头，带动毕业生多方出击，广泛寻找求职岗位。并继续做好全院大型就业洽谈会和网络招聘会、小型面试会等多方位全层次的就业服务。其次，建立未就业毕业生统计机制，有针对性地加大对有就业意愿尚未就业毕业生的指导服务力度，帮助他们尽快实现就业创业。</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五</w:t>
      </w:r>
      <w:r>
        <w:rPr>
          <w:rFonts w:hint="eastAsia" w:ascii="华文仿宋" w:hAnsi="华文仿宋" w:eastAsia="华文仿宋"/>
          <w:sz w:val="32"/>
          <w:szCs w:val="32"/>
        </w:rPr>
        <w:t xml:space="preserve">）积极做好家庭经济困难毕业生的就业帮扶工作。通过各系部的具体工作，实行主管学生系负责人一对一重点帮扶措施。并做好低保家庭毕业生的求职补贴的申报工作。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六</w:t>
      </w:r>
      <w:r>
        <w:rPr>
          <w:rFonts w:hint="eastAsia" w:ascii="华文仿宋" w:hAnsi="华文仿宋" w:eastAsia="华文仿宋"/>
          <w:sz w:val="32"/>
          <w:szCs w:val="32"/>
        </w:rPr>
        <w:t>）深化学院人才培养改革。要优化高等教育结构，加强应用型学院建设，加快教育教学改革，强化实践教学，建立用人单位和毕业生就业状况反馈机制，促进高等教育更好地服务于国家战略和经济社会发展。</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在即将到来的2017届毕业生就业工作中，我们将继续努力，分析毕业生就业工作上出现的新问题，研究解决的新办法，高度重视毕业生就业工作，努力拓宽就业渠道，认真做好就业指导和服务工作，切实帮助广大毕业生顺利就业，为山西和学院的转制跨越发展做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FD0"/>
    <w:multiLevelType w:val="multilevel"/>
    <w:tmpl w:val="0CFE0FD0"/>
    <w:lvl w:ilvl="0" w:tentative="0">
      <w:start w:val="1"/>
      <w:numFmt w:val="chineseCountingThousand"/>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6D446F1"/>
    <w:multiLevelType w:val="multilevel"/>
    <w:tmpl w:val="26D446F1"/>
    <w:lvl w:ilvl="0" w:tentative="0">
      <w:start w:val="1"/>
      <w:numFmt w:val="chineseCountingThousand"/>
      <w:lvlText w:val="%1、"/>
      <w:lvlJc w:val="left"/>
      <w:pPr>
        <w:ind w:left="720" w:hanging="720"/>
      </w:pPr>
      <w:rPr>
        <w:rFonts w:hint="default"/>
        <w:lang w:val="en-US"/>
      </w:rPr>
    </w:lvl>
    <w:lvl w:ilvl="1" w:tentative="0">
      <w:start w:val="1"/>
      <w:numFmt w:val="lowerLetter"/>
      <w:lvlText w:val="%2)"/>
      <w:lvlJc w:val="left"/>
      <w:pPr>
        <w:ind w:left="3360" w:hanging="420"/>
      </w:pPr>
    </w:lvl>
    <w:lvl w:ilvl="2" w:tentative="0">
      <w:start w:val="1"/>
      <w:numFmt w:val="lowerRoman"/>
      <w:lvlText w:val="%3."/>
      <w:lvlJc w:val="right"/>
      <w:pPr>
        <w:ind w:left="3780" w:hanging="420"/>
      </w:pPr>
    </w:lvl>
    <w:lvl w:ilvl="3" w:tentative="0">
      <w:start w:val="1"/>
      <w:numFmt w:val="decimal"/>
      <w:lvlText w:val="%4."/>
      <w:lvlJc w:val="left"/>
      <w:pPr>
        <w:ind w:left="4200" w:hanging="420"/>
      </w:pPr>
    </w:lvl>
    <w:lvl w:ilvl="4" w:tentative="0">
      <w:start w:val="1"/>
      <w:numFmt w:val="lowerLetter"/>
      <w:lvlText w:val="%5)"/>
      <w:lvlJc w:val="left"/>
      <w:pPr>
        <w:ind w:left="4620" w:hanging="420"/>
      </w:pPr>
    </w:lvl>
    <w:lvl w:ilvl="5" w:tentative="0">
      <w:start w:val="1"/>
      <w:numFmt w:val="lowerRoman"/>
      <w:lvlText w:val="%6."/>
      <w:lvlJc w:val="right"/>
      <w:pPr>
        <w:ind w:left="5040" w:hanging="420"/>
      </w:pPr>
    </w:lvl>
    <w:lvl w:ilvl="6" w:tentative="0">
      <w:start w:val="1"/>
      <w:numFmt w:val="decimal"/>
      <w:lvlText w:val="%7."/>
      <w:lvlJc w:val="left"/>
      <w:pPr>
        <w:ind w:left="5460" w:hanging="420"/>
      </w:pPr>
    </w:lvl>
    <w:lvl w:ilvl="7" w:tentative="0">
      <w:start w:val="1"/>
      <w:numFmt w:val="lowerLetter"/>
      <w:lvlText w:val="%8)"/>
      <w:lvlJc w:val="left"/>
      <w:pPr>
        <w:ind w:left="5880" w:hanging="420"/>
      </w:pPr>
    </w:lvl>
    <w:lvl w:ilvl="8" w:tentative="0">
      <w:start w:val="1"/>
      <w:numFmt w:val="lowerRoman"/>
      <w:lvlText w:val="%9."/>
      <w:lvlJc w:val="right"/>
      <w:pPr>
        <w:ind w:left="6300" w:hanging="420"/>
      </w:pPr>
    </w:lvl>
  </w:abstractNum>
  <w:abstractNum w:abstractNumId="2">
    <w:nsid w:val="5858E31B"/>
    <w:multiLevelType w:val="singleLevel"/>
    <w:tmpl w:val="5858E31B"/>
    <w:lvl w:ilvl="0" w:tentative="0">
      <w:start w:val="1"/>
      <w:numFmt w:val="chineseCounting"/>
      <w:suff w:val="nothing"/>
      <w:lvlText w:val="（%1）"/>
      <w:lvlJc w:val="left"/>
    </w:lvl>
  </w:abstractNum>
  <w:abstractNum w:abstractNumId="3">
    <w:nsid w:val="585A34BC"/>
    <w:multiLevelType w:val="singleLevel"/>
    <w:tmpl w:val="585A34BC"/>
    <w:lvl w:ilvl="0" w:tentative="0">
      <w:start w:val="1"/>
      <w:numFmt w:val="chineseCounting"/>
      <w:suff w:val="nothing"/>
      <w:lvlText w:val="（%1）"/>
      <w:lvlJc w:val="left"/>
    </w:lvl>
  </w:abstractNum>
  <w:abstractNum w:abstractNumId="4">
    <w:nsid w:val="585C8CEA"/>
    <w:multiLevelType w:val="singleLevel"/>
    <w:tmpl w:val="585C8CEA"/>
    <w:lvl w:ilvl="0" w:tentative="0">
      <w:start w:val="3"/>
      <w:numFmt w:val="chineseCounting"/>
      <w:suff w:val="nothing"/>
      <w:lvlText w:val="（%1）"/>
      <w:lvlJc w:val="left"/>
    </w:lvl>
  </w:abstractNum>
  <w:abstractNum w:abstractNumId="5">
    <w:nsid w:val="585C8D12"/>
    <w:multiLevelType w:val="singleLevel"/>
    <w:tmpl w:val="585C8D12"/>
    <w:lvl w:ilvl="0" w:tentative="0">
      <w:start w:val="1"/>
      <w:numFmt w:val="decimal"/>
      <w:suff w:val="nothing"/>
      <w:lvlText w:val="%1、"/>
      <w:lvlJc w:val="left"/>
    </w:lvl>
  </w:abstractNum>
  <w:abstractNum w:abstractNumId="6">
    <w:nsid w:val="58646AD0"/>
    <w:multiLevelType w:val="singleLevel"/>
    <w:tmpl w:val="58646AD0"/>
    <w:lvl w:ilvl="0" w:tentative="0">
      <w:start w:val="3"/>
      <w:numFmt w:val="chineseCounting"/>
      <w:suff w:val="nothing"/>
      <w:lvlText w:val="（%1）"/>
      <w:lvlJc w:val="left"/>
    </w:lvl>
  </w:abstractNum>
  <w:abstractNum w:abstractNumId="7">
    <w:nsid w:val="6E7C4BCB"/>
    <w:multiLevelType w:val="multilevel"/>
    <w:tmpl w:val="6E7C4BC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0"/>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362FB6"/>
    <w:rsid w:val="00017430"/>
    <w:rsid w:val="000256FE"/>
    <w:rsid w:val="00044C8E"/>
    <w:rsid w:val="00090F4F"/>
    <w:rsid w:val="000A1F55"/>
    <w:rsid w:val="000B5739"/>
    <w:rsid w:val="000F2E72"/>
    <w:rsid w:val="00106B8E"/>
    <w:rsid w:val="00173897"/>
    <w:rsid w:val="001964AF"/>
    <w:rsid w:val="001C59B2"/>
    <w:rsid w:val="00246F5E"/>
    <w:rsid w:val="0025788E"/>
    <w:rsid w:val="00274691"/>
    <w:rsid w:val="0027751E"/>
    <w:rsid w:val="0028002C"/>
    <w:rsid w:val="00294642"/>
    <w:rsid w:val="002A7EFE"/>
    <w:rsid w:val="002C082A"/>
    <w:rsid w:val="002C23A6"/>
    <w:rsid w:val="002E4092"/>
    <w:rsid w:val="003059E4"/>
    <w:rsid w:val="00362FB6"/>
    <w:rsid w:val="00370C6E"/>
    <w:rsid w:val="0039123B"/>
    <w:rsid w:val="003C14CC"/>
    <w:rsid w:val="003C6D3A"/>
    <w:rsid w:val="003D04F8"/>
    <w:rsid w:val="003D24E5"/>
    <w:rsid w:val="003F25BF"/>
    <w:rsid w:val="003F70A7"/>
    <w:rsid w:val="004411D1"/>
    <w:rsid w:val="0047643F"/>
    <w:rsid w:val="00484DC4"/>
    <w:rsid w:val="0048653A"/>
    <w:rsid w:val="004878CA"/>
    <w:rsid w:val="004C24B5"/>
    <w:rsid w:val="004D5A37"/>
    <w:rsid w:val="0052118C"/>
    <w:rsid w:val="00523B63"/>
    <w:rsid w:val="00532F14"/>
    <w:rsid w:val="00540535"/>
    <w:rsid w:val="005804BA"/>
    <w:rsid w:val="0058645C"/>
    <w:rsid w:val="005953AA"/>
    <w:rsid w:val="00647605"/>
    <w:rsid w:val="00653D93"/>
    <w:rsid w:val="0067507B"/>
    <w:rsid w:val="00676A02"/>
    <w:rsid w:val="00691844"/>
    <w:rsid w:val="006C28E2"/>
    <w:rsid w:val="006D3EEC"/>
    <w:rsid w:val="006D6476"/>
    <w:rsid w:val="006E13EF"/>
    <w:rsid w:val="00732DAD"/>
    <w:rsid w:val="007437C6"/>
    <w:rsid w:val="00744C65"/>
    <w:rsid w:val="007836D8"/>
    <w:rsid w:val="007A766F"/>
    <w:rsid w:val="007C35B4"/>
    <w:rsid w:val="007C59C2"/>
    <w:rsid w:val="00816FE8"/>
    <w:rsid w:val="008372B0"/>
    <w:rsid w:val="00852E6C"/>
    <w:rsid w:val="00884C12"/>
    <w:rsid w:val="008A6519"/>
    <w:rsid w:val="008E71A6"/>
    <w:rsid w:val="00913B39"/>
    <w:rsid w:val="00915BDA"/>
    <w:rsid w:val="00917CE8"/>
    <w:rsid w:val="009367BB"/>
    <w:rsid w:val="00951B08"/>
    <w:rsid w:val="00967675"/>
    <w:rsid w:val="009B3271"/>
    <w:rsid w:val="009E4768"/>
    <w:rsid w:val="00A17323"/>
    <w:rsid w:val="00A2743B"/>
    <w:rsid w:val="00A3537A"/>
    <w:rsid w:val="00A73DBB"/>
    <w:rsid w:val="00A7750C"/>
    <w:rsid w:val="00A90783"/>
    <w:rsid w:val="00AA3E80"/>
    <w:rsid w:val="00AB6842"/>
    <w:rsid w:val="00AD4D91"/>
    <w:rsid w:val="00B072FF"/>
    <w:rsid w:val="00B578CA"/>
    <w:rsid w:val="00B70ECF"/>
    <w:rsid w:val="00B9541A"/>
    <w:rsid w:val="00BD3C2A"/>
    <w:rsid w:val="00BF22ED"/>
    <w:rsid w:val="00C02BD2"/>
    <w:rsid w:val="00C20D5E"/>
    <w:rsid w:val="00C414CD"/>
    <w:rsid w:val="00C4230B"/>
    <w:rsid w:val="00C50718"/>
    <w:rsid w:val="00C62325"/>
    <w:rsid w:val="00C7034F"/>
    <w:rsid w:val="00C71AC0"/>
    <w:rsid w:val="00CB595A"/>
    <w:rsid w:val="00CC34F8"/>
    <w:rsid w:val="00CF68DE"/>
    <w:rsid w:val="00D0651D"/>
    <w:rsid w:val="00D31311"/>
    <w:rsid w:val="00D65AE4"/>
    <w:rsid w:val="00D81D53"/>
    <w:rsid w:val="00DD2356"/>
    <w:rsid w:val="00E376CC"/>
    <w:rsid w:val="00E500DC"/>
    <w:rsid w:val="00E51A61"/>
    <w:rsid w:val="00E52319"/>
    <w:rsid w:val="00E616D6"/>
    <w:rsid w:val="00ED02D6"/>
    <w:rsid w:val="00F05F68"/>
    <w:rsid w:val="00F80B15"/>
    <w:rsid w:val="00F91E3B"/>
    <w:rsid w:val="00FA09A5"/>
    <w:rsid w:val="00FB3F6A"/>
    <w:rsid w:val="00FC2BF6"/>
    <w:rsid w:val="01390371"/>
    <w:rsid w:val="016F05E9"/>
    <w:rsid w:val="026E76DB"/>
    <w:rsid w:val="05750484"/>
    <w:rsid w:val="07100225"/>
    <w:rsid w:val="07462D58"/>
    <w:rsid w:val="077965D0"/>
    <w:rsid w:val="08D26182"/>
    <w:rsid w:val="093A586D"/>
    <w:rsid w:val="09893DB1"/>
    <w:rsid w:val="0B212BCE"/>
    <w:rsid w:val="0D043290"/>
    <w:rsid w:val="0DA4101E"/>
    <w:rsid w:val="0E143F94"/>
    <w:rsid w:val="0FE23D91"/>
    <w:rsid w:val="0FFB40C6"/>
    <w:rsid w:val="124C6F38"/>
    <w:rsid w:val="12781EDB"/>
    <w:rsid w:val="12FA0ECE"/>
    <w:rsid w:val="13DC3D21"/>
    <w:rsid w:val="179D4FC7"/>
    <w:rsid w:val="18392AF3"/>
    <w:rsid w:val="189E1A5E"/>
    <w:rsid w:val="18A371E8"/>
    <w:rsid w:val="18C7193A"/>
    <w:rsid w:val="19AF704B"/>
    <w:rsid w:val="19C104CD"/>
    <w:rsid w:val="1AA77BC7"/>
    <w:rsid w:val="1AFE7DF8"/>
    <w:rsid w:val="1C091D8D"/>
    <w:rsid w:val="1D2C37D9"/>
    <w:rsid w:val="1D580203"/>
    <w:rsid w:val="1DC839AF"/>
    <w:rsid w:val="1EBA70F8"/>
    <w:rsid w:val="1EE94CA3"/>
    <w:rsid w:val="1F730AA4"/>
    <w:rsid w:val="1F924DFC"/>
    <w:rsid w:val="203B04ED"/>
    <w:rsid w:val="204611F1"/>
    <w:rsid w:val="21D8749C"/>
    <w:rsid w:val="225A3669"/>
    <w:rsid w:val="226B228E"/>
    <w:rsid w:val="22796CE2"/>
    <w:rsid w:val="23140F9B"/>
    <w:rsid w:val="23223264"/>
    <w:rsid w:val="25C076F1"/>
    <w:rsid w:val="25C96F0A"/>
    <w:rsid w:val="25CE6C15"/>
    <w:rsid w:val="25D065AB"/>
    <w:rsid w:val="26AD333E"/>
    <w:rsid w:val="27944107"/>
    <w:rsid w:val="27F30B19"/>
    <w:rsid w:val="283C2212"/>
    <w:rsid w:val="28E107A2"/>
    <w:rsid w:val="2A280FC8"/>
    <w:rsid w:val="2A941EA3"/>
    <w:rsid w:val="2A9F6BB9"/>
    <w:rsid w:val="2B675BC2"/>
    <w:rsid w:val="2B8970A7"/>
    <w:rsid w:val="2C9F6F43"/>
    <w:rsid w:val="2CEA3FC7"/>
    <w:rsid w:val="2CF775D2"/>
    <w:rsid w:val="2D3D455B"/>
    <w:rsid w:val="312641CC"/>
    <w:rsid w:val="31745643"/>
    <w:rsid w:val="32DD1CB7"/>
    <w:rsid w:val="331823CF"/>
    <w:rsid w:val="34614E70"/>
    <w:rsid w:val="355D3219"/>
    <w:rsid w:val="35D92882"/>
    <w:rsid w:val="36046F67"/>
    <w:rsid w:val="36C33DE5"/>
    <w:rsid w:val="378309A0"/>
    <w:rsid w:val="38755953"/>
    <w:rsid w:val="38F81807"/>
    <w:rsid w:val="39703EEB"/>
    <w:rsid w:val="3B8C7472"/>
    <w:rsid w:val="3C022F2E"/>
    <w:rsid w:val="3C304CF6"/>
    <w:rsid w:val="3C7A6077"/>
    <w:rsid w:val="3CA56AE3"/>
    <w:rsid w:val="3D8F7C8C"/>
    <w:rsid w:val="3D985D1E"/>
    <w:rsid w:val="3E5616C2"/>
    <w:rsid w:val="40B6326A"/>
    <w:rsid w:val="418531FE"/>
    <w:rsid w:val="43530D81"/>
    <w:rsid w:val="43C1545D"/>
    <w:rsid w:val="43EE4803"/>
    <w:rsid w:val="449B114F"/>
    <w:rsid w:val="44AB4169"/>
    <w:rsid w:val="45CD11A5"/>
    <w:rsid w:val="4621349D"/>
    <w:rsid w:val="46732818"/>
    <w:rsid w:val="476063A8"/>
    <w:rsid w:val="487B7DFA"/>
    <w:rsid w:val="48B740C3"/>
    <w:rsid w:val="48BC6665"/>
    <w:rsid w:val="49325015"/>
    <w:rsid w:val="494F3655"/>
    <w:rsid w:val="4A500C79"/>
    <w:rsid w:val="4AA06984"/>
    <w:rsid w:val="4B640C63"/>
    <w:rsid w:val="4B812670"/>
    <w:rsid w:val="4BBE751C"/>
    <w:rsid w:val="4EA0220D"/>
    <w:rsid w:val="4EB96FB2"/>
    <w:rsid w:val="4EEC1008"/>
    <w:rsid w:val="4FF77DDD"/>
    <w:rsid w:val="50303C1D"/>
    <w:rsid w:val="505978C0"/>
    <w:rsid w:val="514D52EF"/>
    <w:rsid w:val="546755B8"/>
    <w:rsid w:val="56AF3248"/>
    <w:rsid w:val="56B72183"/>
    <w:rsid w:val="57860A60"/>
    <w:rsid w:val="58D32924"/>
    <w:rsid w:val="59AC3B2A"/>
    <w:rsid w:val="59C8345A"/>
    <w:rsid w:val="5A41762B"/>
    <w:rsid w:val="5B6C00CD"/>
    <w:rsid w:val="5BA16563"/>
    <w:rsid w:val="5BFC5702"/>
    <w:rsid w:val="5E2D4323"/>
    <w:rsid w:val="5E7F5697"/>
    <w:rsid w:val="5F04354D"/>
    <w:rsid w:val="5FB86698"/>
    <w:rsid w:val="5FBF3511"/>
    <w:rsid w:val="60CC2CDD"/>
    <w:rsid w:val="619F6539"/>
    <w:rsid w:val="61A34F3F"/>
    <w:rsid w:val="62A03858"/>
    <w:rsid w:val="62CA6F20"/>
    <w:rsid w:val="63581CF3"/>
    <w:rsid w:val="65410C2D"/>
    <w:rsid w:val="656B3412"/>
    <w:rsid w:val="6579609E"/>
    <w:rsid w:val="65DB55A9"/>
    <w:rsid w:val="664256F0"/>
    <w:rsid w:val="6827516E"/>
    <w:rsid w:val="68675882"/>
    <w:rsid w:val="6883286A"/>
    <w:rsid w:val="69014BC0"/>
    <w:rsid w:val="69534691"/>
    <w:rsid w:val="69A3595F"/>
    <w:rsid w:val="6A6C16B7"/>
    <w:rsid w:val="6A973C6D"/>
    <w:rsid w:val="6BA0102C"/>
    <w:rsid w:val="6BB53792"/>
    <w:rsid w:val="6C0A1DD8"/>
    <w:rsid w:val="6C7F6D21"/>
    <w:rsid w:val="6D6115A8"/>
    <w:rsid w:val="6D6F4869"/>
    <w:rsid w:val="6E0D684E"/>
    <w:rsid w:val="6F6D675F"/>
    <w:rsid w:val="71B50503"/>
    <w:rsid w:val="727A529A"/>
    <w:rsid w:val="72E67C90"/>
    <w:rsid w:val="739A51B5"/>
    <w:rsid w:val="73A63984"/>
    <w:rsid w:val="742C2525"/>
    <w:rsid w:val="74981911"/>
    <w:rsid w:val="765D1540"/>
    <w:rsid w:val="767201E1"/>
    <w:rsid w:val="76AD72E4"/>
    <w:rsid w:val="77904DB5"/>
    <w:rsid w:val="790A1220"/>
    <w:rsid w:val="795F53B0"/>
    <w:rsid w:val="79EE4DA3"/>
    <w:rsid w:val="7B47744F"/>
    <w:rsid w:val="7B771343"/>
    <w:rsid w:val="7BAD5920"/>
    <w:rsid w:val="7C646922"/>
    <w:rsid w:val="7CB95222"/>
    <w:rsid w:val="7CCD42B0"/>
    <w:rsid w:val="7CE63025"/>
    <w:rsid w:val="7E566D5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8"/>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unhideWhenUsed/>
    <w:qFormat/>
    <w:uiPriority w:val="99"/>
    <w:rPr>
      <w:rFonts w:hint="eastAsia" w:ascii="微软雅黑" w:hAnsi="微软雅黑" w:eastAsia="微软雅黑" w:cs="微软雅黑"/>
      <w:color w:val="333333"/>
      <w:sz w:val="18"/>
      <w:szCs w:val="18"/>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Variable"/>
    <w:basedOn w:val="6"/>
    <w:unhideWhenUsed/>
    <w:qFormat/>
    <w:uiPriority w:val="99"/>
  </w:style>
  <w:style w:type="character" w:styleId="12">
    <w:name w:val="Hyperlink"/>
    <w:basedOn w:val="6"/>
    <w:unhideWhenUsed/>
    <w:qFormat/>
    <w:uiPriority w:val="99"/>
    <w:rPr>
      <w:rFonts w:ascii="微软雅黑" w:hAnsi="微软雅黑" w:eastAsia="微软雅黑" w:cs="微软雅黑"/>
      <w:color w:val="333333"/>
      <w:sz w:val="18"/>
      <w:szCs w:val="18"/>
      <w:u w:val="none"/>
    </w:rPr>
  </w:style>
  <w:style w:type="character" w:styleId="13">
    <w:name w:val="HTML Code"/>
    <w:basedOn w:val="6"/>
    <w:unhideWhenUsed/>
    <w:qFormat/>
    <w:uiPriority w:val="99"/>
    <w:rPr>
      <w:rFonts w:ascii="Courier New" w:hAnsi="Courier New"/>
      <w:sz w:val="20"/>
    </w:rPr>
  </w:style>
  <w:style w:type="character" w:styleId="14">
    <w:name w:val="HTML Cite"/>
    <w:basedOn w:val="6"/>
    <w:unhideWhenUsed/>
    <w:qFormat/>
    <w:uiPriority w:val="99"/>
  </w:style>
  <w:style w:type="table" w:styleId="16">
    <w:name w:val="Table Grid"/>
    <w:basedOn w:val="1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页眉 Char"/>
    <w:basedOn w:val="6"/>
    <w:link w:val="4"/>
    <w:semiHidden/>
    <w:qFormat/>
    <w:uiPriority w:val="99"/>
    <w:rPr>
      <w:sz w:val="18"/>
      <w:szCs w:val="18"/>
    </w:rPr>
  </w:style>
  <w:style w:type="character" w:customStyle="1" w:styleId="18">
    <w:name w:val="页脚 Char"/>
    <w:basedOn w:val="6"/>
    <w:link w:val="3"/>
    <w:semiHidden/>
    <w:qFormat/>
    <w:uiPriority w:val="99"/>
    <w:rPr>
      <w:sz w:val="18"/>
      <w:szCs w:val="18"/>
    </w:rPr>
  </w:style>
  <w:style w:type="paragraph" w:customStyle="1" w:styleId="19">
    <w:name w:val="列出段落1"/>
    <w:basedOn w:val="1"/>
    <w:qFormat/>
    <w:uiPriority w:val="34"/>
    <w:pPr>
      <w:ind w:firstLine="420" w:firstLineChars="200"/>
    </w:pPr>
  </w:style>
  <w:style w:type="paragraph" w:customStyle="1" w:styleId="20">
    <w:name w:val="报告正文样式"/>
    <w:basedOn w:val="1"/>
    <w:link w:val="21"/>
    <w:qFormat/>
    <w:uiPriority w:val="0"/>
    <w:pPr>
      <w:widowControl/>
      <w:spacing w:beforeLines="50" w:afterLines="50" w:line="360" w:lineRule="auto"/>
      <w:ind w:firstLine="480" w:firstLineChars="200"/>
    </w:pPr>
    <w:rPr>
      <w:rFonts w:cs="宋体" w:asciiTheme="minorEastAsia" w:hAnsiTheme="minorEastAsia"/>
      <w:color w:val="000000" w:themeColor="text1"/>
      <w:kern w:val="0"/>
      <w:sz w:val="24"/>
      <w:szCs w:val="21"/>
    </w:rPr>
  </w:style>
  <w:style w:type="character" w:customStyle="1" w:styleId="21">
    <w:name w:val="报告正文样式 Char"/>
    <w:basedOn w:val="6"/>
    <w:link w:val="20"/>
    <w:qFormat/>
    <w:uiPriority w:val="0"/>
    <w:rPr>
      <w:rFonts w:cs="宋体" w:asciiTheme="minorEastAsia" w:hAnsiTheme="minorEastAsia"/>
      <w:color w:val="000000" w:themeColor="text1"/>
      <w:kern w:val="0"/>
      <w:sz w:val="24"/>
      <w:szCs w:val="21"/>
    </w:rPr>
  </w:style>
  <w:style w:type="paragraph" w:customStyle="1" w:styleId="22">
    <w:name w:val="图标题"/>
    <w:basedOn w:val="1"/>
    <w:link w:val="23"/>
    <w:qFormat/>
    <w:uiPriority w:val="0"/>
    <w:pPr>
      <w:spacing w:afterLines="50"/>
      <w:ind w:firstLine="422" w:firstLineChars="200"/>
      <w:jc w:val="center"/>
    </w:pPr>
    <w:rPr>
      <w:rFonts w:ascii="Times New Roman" w:hAnsi="Times New Roman" w:eastAsia="黑体" w:cs="Times New Roman"/>
      <w:szCs w:val="21"/>
    </w:rPr>
  </w:style>
  <w:style w:type="character" w:customStyle="1" w:styleId="23">
    <w:name w:val="图标题 Char"/>
    <w:basedOn w:val="6"/>
    <w:link w:val="22"/>
    <w:qFormat/>
    <w:uiPriority w:val="0"/>
    <w:rPr>
      <w:rFonts w:ascii="Times New Roman" w:hAnsi="Times New Roman" w:eastAsia="黑体" w:cs="Times New Roman"/>
      <w:szCs w:val="21"/>
    </w:rPr>
  </w:style>
  <w:style w:type="paragraph" w:customStyle="1" w:styleId="24">
    <w:name w:val="图表标题"/>
    <w:basedOn w:val="1"/>
    <w:link w:val="26"/>
    <w:qFormat/>
    <w:uiPriority w:val="0"/>
    <w:pPr>
      <w:widowControl/>
      <w:spacing w:afterLines="50" w:line="360" w:lineRule="auto"/>
      <w:ind w:firstLine="422" w:firstLineChars="200"/>
      <w:jc w:val="center"/>
    </w:pPr>
    <w:rPr>
      <w:rFonts w:ascii="Times New Roman" w:hAnsi="Times New Roman" w:eastAsia="宋体" w:cs="Times New Roman"/>
      <w:szCs w:val="21"/>
    </w:rPr>
  </w:style>
  <w:style w:type="paragraph" w:customStyle="1" w:styleId="25">
    <w:name w:val="济南图标题"/>
    <w:basedOn w:val="22"/>
    <w:link w:val="27"/>
    <w:qFormat/>
    <w:uiPriority w:val="0"/>
    <w:pPr>
      <w:spacing w:afterLines="0"/>
      <w:ind w:firstLine="0" w:firstLineChars="0"/>
    </w:pPr>
  </w:style>
  <w:style w:type="character" w:customStyle="1" w:styleId="26">
    <w:name w:val="图表标题 Char"/>
    <w:basedOn w:val="6"/>
    <w:link w:val="24"/>
    <w:qFormat/>
    <w:uiPriority w:val="0"/>
    <w:rPr>
      <w:rFonts w:ascii="Times New Roman" w:hAnsi="Times New Roman" w:eastAsia="宋体" w:cs="Times New Roman"/>
      <w:szCs w:val="21"/>
    </w:rPr>
  </w:style>
  <w:style w:type="character" w:customStyle="1" w:styleId="27">
    <w:name w:val="济南图标题 Char"/>
    <w:basedOn w:val="23"/>
    <w:link w:val="25"/>
    <w:qFormat/>
    <w:uiPriority w:val="0"/>
  </w:style>
  <w:style w:type="character" w:customStyle="1" w:styleId="28">
    <w:name w:val="批注框文本 Char"/>
    <w:basedOn w:val="6"/>
    <w:link w:val="2"/>
    <w:semiHidden/>
    <w:qFormat/>
    <w:uiPriority w:val="99"/>
    <w:rPr>
      <w:sz w:val="18"/>
      <w:szCs w:val="18"/>
    </w:rPr>
  </w:style>
  <w:style w:type="table" w:customStyle="1" w:styleId="29">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新报告三级"/>
    <w:basedOn w:val="1"/>
    <w:link w:val="31"/>
    <w:qFormat/>
    <w:uiPriority w:val="0"/>
    <w:pPr>
      <w:spacing w:before="260" w:afterLines="50" w:line="415" w:lineRule="auto"/>
      <w:outlineLvl w:val="1"/>
    </w:pPr>
    <w:rPr>
      <w:rFonts w:ascii="黑体" w:hAnsi="黑体" w:eastAsia="黑体" w:cs="Times New Roman"/>
      <w:b/>
      <w:bCs/>
      <w:sz w:val="28"/>
      <w:szCs w:val="28"/>
    </w:rPr>
  </w:style>
  <w:style w:type="character" w:customStyle="1" w:styleId="31">
    <w:name w:val="新报告三级 Char"/>
    <w:basedOn w:val="6"/>
    <w:link w:val="30"/>
    <w:qFormat/>
    <w:uiPriority w:val="0"/>
    <w:rPr>
      <w:rFonts w:ascii="黑体" w:hAnsi="黑体" w:eastAsia="黑体" w:cs="Times New Roman"/>
      <w:b/>
      <w:bCs/>
      <w:sz w:val="28"/>
      <w:szCs w:val="28"/>
    </w:rPr>
  </w:style>
  <w:style w:type="character" w:customStyle="1" w:styleId="32">
    <w:name w:val="nav"/>
    <w:basedOn w:val="6"/>
    <w:qFormat/>
    <w:uiPriority w:val="0"/>
  </w:style>
  <w:style w:type="paragraph" w:customStyle="1" w:styleId="33">
    <w:name w:val="列出段落2"/>
    <w:basedOn w:val="1"/>
    <w:unhideWhenUsed/>
    <w:qFormat/>
    <w:uiPriority w:val="99"/>
    <w:pPr>
      <w:ind w:firstLine="420" w:firstLineChars="200"/>
    </w:pPr>
  </w:style>
  <w:style w:type="paragraph" w:customStyle="1"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Sheet1!$A$2:$A$6</c:f>
              <c:strCache>
                <c:ptCount val="5"/>
                <c:pt idx="0">
                  <c:v>协议就业</c:v>
                </c:pt>
                <c:pt idx="1">
                  <c:v>项目就业</c:v>
                </c:pt>
                <c:pt idx="2">
                  <c:v>专升本</c:v>
                </c:pt>
                <c:pt idx="3">
                  <c:v>灵活就业</c:v>
                </c:pt>
                <c:pt idx="4">
                  <c:v>生源地待业</c:v>
                </c:pt>
              </c:strCache>
            </c:strRef>
          </c:cat>
          <c:val>
            <c:numRef>
              <c:f>Sheet1!$B$2:$B$6</c:f>
              <c:numCache>
                <c:formatCode>General</c:formatCode>
                <c:ptCount val="5"/>
                <c:pt idx="0">
                  <c:v>23</c:v>
                </c:pt>
                <c:pt idx="1">
                  <c:v>10</c:v>
                </c:pt>
                <c:pt idx="2">
                  <c:v>90</c:v>
                </c:pt>
                <c:pt idx="3">
                  <c:v>1008</c:v>
                </c:pt>
                <c:pt idx="4">
                  <c:v>24</c:v>
                </c:pt>
              </c:numCache>
            </c:numRef>
          </c:val>
        </c:ser>
        <c:dLbls>
          <c:showLegendKey val="0"/>
          <c:showVal val="0"/>
          <c:showCatName val="0"/>
          <c:showSerName val="0"/>
          <c:showPercent val="0"/>
          <c:showBubbleSize val="0"/>
        </c:dLbls>
        <c:gapWidth val="150"/>
        <c:axId val="146608128"/>
        <c:axId val="146609664"/>
      </c:barChart>
      <c:catAx>
        <c:axId val="146608128"/>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146609664"/>
        <c:crosses val="autoZero"/>
        <c:auto val="1"/>
        <c:lblAlgn val="ctr"/>
        <c:lblOffset val="100"/>
        <c:noMultiLvlLbl val="0"/>
      </c:catAx>
      <c:valAx>
        <c:axId val="146609664"/>
        <c:scaling>
          <c:orientation val="minMax"/>
        </c:scaling>
        <c:delete val="0"/>
        <c:axPos val="l"/>
        <c:majorGridlines>
          <c:spPr>
            <a:ln w="9525" cap="flat" cmpd="sng" algn="ctr">
              <a:solidFill>
                <a:schemeClr val="tx1">
                  <a:lumMod val="50000"/>
                  <a:lumOff val="50000"/>
                </a:schemeClr>
              </a:solidFill>
              <a:prstDash val="solid"/>
              <a:round/>
            </a:ln>
            <a:effectLst/>
          </c:spPr>
        </c:majorGridlines>
        <c:title>
          <c:layout/>
          <c:overlay val="0"/>
          <c:spPr>
            <a:noFill/>
            <a:ln>
              <a:noFill/>
            </a:ln>
            <a:effectLst/>
          </c:spPr>
          <c:txPr>
            <a:bodyPr rot="-5400000" spcFirstLastPara="0" vertOverflow="ellipsis" horzOverflow="overflow"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146608128"/>
        <c:crosses val="autoZero"/>
        <c:crossBetween val="between"/>
      </c:valAx>
      <c:dTable>
        <c:showHorzBorder val="1"/>
        <c:showVertBorder val="1"/>
        <c:showOutline val="1"/>
        <c:showKeys val="1"/>
        <c:spPr>
          <a:no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880426451118"/>
          <c:y val="0.114787416278847"/>
          <c:w val="0.500958911109563"/>
          <c:h val="0.792834131027739"/>
        </c:manualLayout>
      </c:layout>
      <c:pieChart>
        <c:varyColors val="1"/>
        <c:ser>
          <c:idx val="0"/>
          <c:order val="0"/>
          <c:tx>
            <c:strRef>
              <c:f>Sheet1!$B$7</c:f>
              <c:strCache>
                <c:ptCount val="1"/>
                <c:pt idx="0">
                  <c:v>销售额</c:v>
                </c:pt>
              </c:strCache>
            </c:strRef>
          </c:tx>
          <c:spPr>
            <a:effectLst/>
          </c:spPr>
          <c:explosion val="0"/>
          <c:dPt>
            <c:idx val="0"/>
            <c:bubble3D val="0"/>
            <c:spPr>
              <a:solidFill>
                <a:schemeClr val="accent1">
                  <a:shade val="65000"/>
                </a:schemeClr>
              </a:solidFill>
              <a:ln>
                <a:noFill/>
              </a:ln>
              <a:effectLst/>
            </c:spPr>
          </c:dPt>
          <c:dPt>
            <c:idx val="1"/>
            <c:bubble3D val="0"/>
            <c:spPr>
              <a:solidFill>
                <a:schemeClr val="accent2">
                  <a:shade val="65000"/>
                </a:schemeClr>
              </a:solidFill>
              <a:ln>
                <a:noFill/>
              </a:ln>
              <a:effectLst/>
            </c:spPr>
          </c:dPt>
          <c:dPt>
            <c:idx val="2"/>
            <c:bubble3D val="0"/>
            <c:spPr>
              <a:solidFill>
                <a:schemeClr val="accent3">
                  <a:shade val="65000"/>
                </a:schemeClr>
              </a:solidFill>
              <a:ln>
                <a:noFill/>
              </a:ln>
              <a:effectLst/>
            </c:spPr>
          </c:dPt>
          <c:dPt>
            <c:idx val="3"/>
            <c:bubble3D val="0"/>
            <c:spPr>
              <a:solidFill>
                <a:schemeClr val="accent4">
                  <a:shade val="65000"/>
                </a:schemeClr>
              </a:solidFill>
              <a:ln>
                <a:noFill/>
              </a:ln>
              <a:effectLst/>
            </c:spPr>
          </c:dPt>
          <c:dPt>
            <c:idx val="4"/>
            <c:bubble3D val="0"/>
            <c:spPr>
              <a:solidFill>
                <a:schemeClr val="accent5">
                  <a:shade val="65000"/>
                </a:schemeClr>
              </a:solidFill>
              <a:ln>
                <a:noFill/>
              </a:ln>
              <a:effectLst/>
            </c:spPr>
          </c:dPt>
          <c:dPt>
            <c:idx val="5"/>
            <c:bubble3D val="0"/>
            <c:spPr>
              <a:solidFill>
                <a:schemeClr val="accent6">
                  <a:shade val="65000"/>
                </a:schemeClr>
              </a:solidFill>
              <a:ln>
                <a:noFill/>
              </a:ln>
              <a:effectLst/>
            </c:spPr>
          </c:dPt>
          <c:dPt>
            <c:idx val="6"/>
            <c:bubble3D val="0"/>
            <c:spPr>
              <a:solidFill>
                <a:schemeClr val="accent1"/>
              </a:solidFill>
              <a:ln>
                <a:noFill/>
              </a:ln>
              <a:effectLst/>
            </c:spPr>
          </c:dPt>
          <c:dPt>
            <c:idx val="7"/>
            <c:bubble3D val="0"/>
            <c:spPr>
              <a:solidFill>
                <a:schemeClr val="accent2"/>
              </a:solidFill>
              <a:ln>
                <a:noFill/>
              </a:ln>
              <a:effectLst/>
            </c:spPr>
          </c:dPt>
          <c:dPt>
            <c:idx val="8"/>
            <c:bubble3D val="0"/>
            <c:spPr>
              <a:solidFill>
                <a:schemeClr val="accent3"/>
              </a:solidFill>
              <a:ln>
                <a:noFill/>
              </a:ln>
              <a:effectLst/>
            </c:spPr>
          </c:dPt>
          <c:dPt>
            <c:idx val="9"/>
            <c:bubble3D val="0"/>
            <c:spPr>
              <a:solidFill>
                <a:schemeClr val="accent4"/>
              </a:solidFill>
              <a:ln>
                <a:noFill/>
              </a:ln>
              <a:effectLst/>
            </c:spPr>
          </c:dPt>
          <c:dPt>
            <c:idx val="10"/>
            <c:bubble3D val="0"/>
            <c:spPr>
              <a:solidFill>
                <a:schemeClr val="accent5"/>
              </a:solidFill>
              <a:ln>
                <a:noFill/>
              </a:ln>
              <a:effectLst/>
            </c:spPr>
          </c:dPt>
          <c:dPt>
            <c:idx val="11"/>
            <c:bubble3D val="0"/>
            <c:spPr>
              <a:solidFill>
                <a:schemeClr val="accent6"/>
              </a:solidFill>
              <a:ln>
                <a:noFill/>
              </a:ln>
              <a:effectLst/>
            </c:spPr>
          </c:dPt>
          <c:dPt>
            <c:idx val="12"/>
            <c:bubble3D val="0"/>
            <c:spPr>
              <a:solidFill>
                <a:schemeClr val="accent1">
                  <a:tint val="65000"/>
                </a:schemeClr>
              </a:solidFill>
              <a:ln>
                <a:noFill/>
              </a:ln>
              <a:effectLst/>
            </c:spPr>
          </c:dPt>
          <c:dPt>
            <c:idx val="13"/>
            <c:bubble3D val="0"/>
            <c:spPr>
              <a:solidFill>
                <a:schemeClr val="accent2">
                  <a:tint val="65000"/>
                </a:schemeClr>
              </a:solidFill>
              <a:ln>
                <a:noFill/>
              </a:ln>
              <a:effectLst/>
            </c:spPr>
          </c:dPt>
          <c:dPt>
            <c:idx val="14"/>
            <c:bubble3D val="0"/>
            <c:spPr>
              <a:effectLst/>
            </c:spPr>
          </c:dPt>
          <c:dPt>
            <c:idx val="15"/>
            <c:bubble3D val="0"/>
            <c:spPr>
              <a:effectLst/>
            </c:spPr>
          </c:dPt>
          <c:dPt>
            <c:idx val="16"/>
            <c:bubble3D val="0"/>
            <c:spPr>
              <a:effectLst/>
            </c:spPr>
          </c:dPt>
          <c:dPt>
            <c:idx val="17"/>
            <c:bubble3D val="0"/>
            <c:spPr>
              <a:effectLst/>
            </c:spPr>
          </c:dPt>
          <c:dLbls>
            <c:dLbl>
              <c:idx val="0"/>
              <c:layout>
                <c:manualLayout>
                  <c:x val="0.0495575221238939"/>
                  <c:y val="0.022408963585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353982300884956"/>
                  <c:y val="0.036414565826330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247787610619469"/>
                  <c:y val="0.005602240896358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195615852711093"/>
                  <c:y val="0.00176912870411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02407720661241"/>
                  <c:y val="-0.0270774976657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938053097345133"/>
                  <c:y val="-0.01828484209353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305722713864307"/>
                      <c:h val="0.121755368814192"/>
                    </c:manualLayout>
                  </c15:layout>
                </c:ext>
              </c:extLst>
            </c:dLbl>
            <c:dLbl>
              <c:idx val="6"/>
              <c:layout>
                <c:manualLayout>
                  <c:x val="-0.0247787610619469"/>
                  <c:y val="-0.012697714917810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30088495575221"/>
                  <c:y val="-0.019105297318165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0480115206838083"/>
                  <c:y val="-0.02892961909173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114900239240007"/>
                  <c:y val="-0.02162259129373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95280520105948"/>
                      <c:h val="0.091640866873065"/>
                    </c:manualLayout>
                  </c15:layout>
                </c:ext>
              </c:extLst>
            </c:dLbl>
            <c:dLbl>
              <c:idx val="10"/>
              <c:layout>
                <c:manualLayout>
                  <c:x val="0.0174608970338885"/>
                  <c:y val="0.00226059977796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62772861356932"/>
                      <c:h val="0.0573295985060691"/>
                    </c:manualLayout>
                  </c15:layout>
                </c:ext>
              </c:extLst>
            </c:dLbl>
            <c:dLbl>
              <c:idx val="11"/>
              <c:layout>
                <c:manualLayout>
                  <c:x val="0.00734555083269459"/>
                  <c:y val="0.01234933868560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0106194690265487"/>
                  <c:y val="0.028011204481792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
                  <c:y val="0.025210084033613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000495482312498712"/>
                  <c:y val="0.0374744333428911"/>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21710914454277"/>
                      <c:h val="0.0634920634920635"/>
                    </c:manualLayout>
                  </c15:layout>
                </c:ext>
              </c:extLst>
            </c:dLbl>
            <c:dLbl>
              <c:idx val="15"/>
              <c:layout>
                <c:manualLayout>
                  <c:x val="-0.01186890576731"/>
                  <c:y val="0.037930552798547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矿井通风与</a:t>
                    </a:r>
                    <a:r>
                      <a:rPr lang="zh-CN" altLang="en-US"/>
                      <a:t>安</a:t>
                    </a:r>
                    <a:r>
                      <a:rPr altLang="en-US"/>
                      <a:t>全, 56</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44129793510324"/>
                      <c:h val="0.101213818860878"/>
                    </c:manualLayout>
                  </c15:layout>
                </c:ext>
              </c:extLst>
            </c:dLbl>
            <c:dLbl>
              <c:idx val="16"/>
              <c:layout>
                <c:manualLayout>
                  <c:x val="-0.0442477876106195"/>
                  <c:y val="0.032507928458474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7"/>
              <c:layout>
                <c:manualLayout>
                  <c:x val="-0.0289145936403968"/>
                  <c:y val="0.034576266202018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Sheet1!$A$8:$A$25</c:f>
              <c:strCache>
                <c:ptCount val="18"/>
                <c:pt idx="0">
                  <c:v>设计与制造</c:v>
                </c:pt>
                <c:pt idx="1">
                  <c:v>矿山机电</c:v>
                </c:pt>
                <c:pt idx="2">
                  <c:v>工商管理</c:v>
                </c:pt>
                <c:pt idx="3">
                  <c:v>市场营销</c:v>
                </c:pt>
                <c:pt idx="4">
                  <c:v>会计电算化</c:v>
                </c:pt>
                <c:pt idx="5">
                  <c:v>煤炭深加工与利用</c:v>
                </c:pt>
                <c:pt idx="6">
                  <c:v>煤矿开采技术</c:v>
                </c:pt>
                <c:pt idx="7">
                  <c:v>矿井建设</c:v>
                </c:pt>
                <c:pt idx="8">
                  <c:v>计算机应用</c:v>
                </c:pt>
                <c:pt idx="9">
                  <c:v>信息管理</c:v>
                </c:pt>
                <c:pt idx="10">
                  <c:v>广告设计与制作</c:v>
                </c:pt>
                <c:pt idx="11">
                  <c:v>应用电子技术</c:v>
                </c:pt>
                <c:pt idx="12">
                  <c:v>建筑工程技术</c:v>
                </c:pt>
                <c:pt idx="13">
                  <c:v>酒店管理</c:v>
                </c:pt>
                <c:pt idx="14">
                  <c:v>建筑工程管理</c:v>
                </c:pt>
                <c:pt idx="15">
                  <c:v>矿井通风与安全</c:v>
                </c:pt>
                <c:pt idx="16">
                  <c:v>矿山测量</c:v>
                </c:pt>
                <c:pt idx="17">
                  <c:v>工程地质勘查</c:v>
                </c:pt>
              </c:strCache>
            </c:strRef>
          </c:cat>
          <c:val>
            <c:numRef>
              <c:f>Sheet1!$B$8:$B$25</c:f>
              <c:numCache>
                <c:formatCode>General</c:formatCode>
                <c:ptCount val="18"/>
                <c:pt idx="0">
                  <c:v>37</c:v>
                </c:pt>
                <c:pt idx="1">
                  <c:v>96</c:v>
                </c:pt>
                <c:pt idx="2">
                  <c:v>59</c:v>
                </c:pt>
                <c:pt idx="3">
                  <c:v>67</c:v>
                </c:pt>
                <c:pt idx="4">
                  <c:v>174</c:v>
                </c:pt>
                <c:pt idx="5">
                  <c:v>101</c:v>
                </c:pt>
                <c:pt idx="6">
                  <c:v>58</c:v>
                </c:pt>
                <c:pt idx="7">
                  <c:v>37</c:v>
                </c:pt>
                <c:pt idx="8">
                  <c:v>43</c:v>
                </c:pt>
                <c:pt idx="9">
                  <c:v>56</c:v>
                </c:pt>
                <c:pt idx="10">
                  <c:v>57</c:v>
                </c:pt>
                <c:pt idx="11">
                  <c:v>36</c:v>
                </c:pt>
                <c:pt idx="12">
                  <c:v>56</c:v>
                </c:pt>
                <c:pt idx="13">
                  <c:v>20</c:v>
                </c:pt>
                <c:pt idx="14">
                  <c:v>36</c:v>
                </c:pt>
                <c:pt idx="15">
                  <c:v>54</c:v>
                </c:pt>
                <c:pt idx="16">
                  <c:v>71</c:v>
                </c:pt>
                <c:pt idx="17">
                  <c:v>97</c:v>
                </c:pt>
              </c:numCache>
            </c:numRef>
          </c:val>
        </c:ser>
        <c:dLbls>
          <c:showLegendKey val="0"/>
          <c:showVal val="1"/>
          <c:showCatName val="1"/>
          <c:showSerName val="0"/>
          <c:showPercent val="0"/>
          <c:showBubbleSize val="0"/>
          <c:showLeaderLines val="1"/>
        </c:dLbls>
        <c:firstSliceAng val="15"/>
      </c:pieChart>
      <c:spPr>
        <a:solidFill>
          <a:schemeClr val="bg1"/>
        </a:solidFill>
        <a:ln>
          <a:noFill/>
        </a:ln>
        <a:effectLst/>
      </c:spPr>
    </c:plotArea>
    <c:plotVisOnly val="1"/>
    <c:dispBlanksAs val="zero"/>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A583C-3B69-4C53-9DB0-2779F60A1F6B}">
  <ds:schemaRefs/>
</ds:datastoreItem>
</file>

<file path=docProps/app.xml><?xml version="1.0" encoding="utf-8"?>
<Properties xmlns="http://schemas.openxmlformats.org/officeDocument/2006/extended-properties" xmlns:vt="http://schemas.openxmlformats.org/officeDocument/2006/docPropsVTypes">
  <Template>Normal</Template>
  <Pages>23</Pages>
  <Words>9683</Words>
  <Characters>10824</Characters>
  <Lines>89</Lines>
  <Paragraphs>25</Paragraphs>
  <ScaleCrop>false</ScaleCrop>
  <LinksUpToDate>false</LinksUpToDate>
  <CharactersWithSpaces>10894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2015-07-08T07:17:00Z</dcterms:created>
  <dc:creator>lenovo</dc:creator>
  <cp:lastModifiedBy>lenovo</cp:lastModifiedBy>
  <cp:lastPrinted>2016-12-29T07:38:00Z</cp:lastPrinted>
  <dcterms:modified xsi:type="dcterms:W3CDTF">2016-12-29T07:42:28Z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